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GYIMESI EMESE</w:t>
            </w:r>
          </w:p>
          <w:p w:rsidR="00C275A3" w:rsidRDefault="00A96AEC" w:rsidP="00C275A3">
            <w:pPr>
              <w:pStyle w:val="Hallgatokepzes"/>
            </w:pPr>
            <w:r>
              <w:t>Irodalom és kultúratudomány MA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Szilágyi Márton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"Mama meséit kiadják". A nyilvános és a privát szféra összjátéka Szendrey Júlia irodalmi pályájában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Szendrey Júlia (1828 – 1868) irodalmi pályája során a nyilvános és a privát szféra állandó kölcsönhatása figyelhető meg. Első publikációinak, 1847-es – Petőfi és Jókai szerkesztői manővereivel kísért – naplókiadásának körülményeit alapvetően meghatározta, hogy az üzleti alapokon működő sajtóélet és az irodalmi piac kialakulásának kellős közepén történt. Jókai olyan gesztusok sorozatával vette körül a Szendrey Júliától kiadandó szövegeket, amelyek nyilvánvalóan a közönségsikert célozták. Épp ezt a fajta szerkesztői gyakorlatot kifogásolta Gyulai Pál tíz évvel később Írónőink című tanulmányában, amelyben a női érzések profanizálásával vádolta a divatlapokat. A közegváltás – melynek során egy privát írásgyakorlatként, magánhasználatra, önanalízis céljából írott szöveget újságcikként, több részletben, különböző folyóiratokban publikáltak – alapvetően megváltoztatta a naplók interpretációs lehetőségeit.</w:t>
      </w:r>
      <w:r>
        <w:rPr>
          <w:color w:val="000000"/>
          <w:sz w:val="24"/>
          <w:szCs w:val="24"/>
        </w:rPr>
        <w:br/>
        <w:t xml:space="preserve">Szendrey Júlia rendszeres publikációinak sora 1857 szeptemberében indult meg a három gyermekéről szóló Három rózsabimbóval, amely a Vahot Imrétől szerkesztett Napkelet című folyóiratban jelent meg. A korabeli médiában elért sikerei mögött a családi „önmegmutatás” stratégiája húzódik meg: ez az 1847-es, az intim és a nyilvános közötti érzékeny határmezsgyét átlépő naplópublikációkra, a tíz évvel későbbi, az anyaszerepet hatékonyan kiaknázó versekre, valamint a Zoltán, Attila és Árpád fiának ajánlott Andersen-fordításra egyaránt igaz. Szendrey Júlia karrierjének meghatározó sikerei arra épültek, hogy a privát szférát beemelte a nyilvános irodalom sajtóközegébe. Ez a viszonyrendszer fordítva is működött: a korabeli média nagyon komolyan meghatározta azokat a „saját használatra” készülő privát írásgyakorlatokat is, amelyek a Horvát család hagyatékában fennmaradtak.</w:t>
      </w:r>
      <w:r>
        <w:rPr>
          <w:color w:val="000000"/>
          <w:sz w:val="24"/>
          <w:szCs w:val="24"/>
        </w:rPr>
        <w:br/>
        <w:t xml:space="preserve">Dolgozatom első részében Szendrey Júlia írónői pályáját a korabeli médiában betöltött szerepe, sajtóban megjelent publikációi alapján közelítem meg, miközben jelzem azokat a problémákat, amelyek az 1858-as Gyulai-féle nővita kérdéseihez kapcsolódnak. A második részben egy olyan kiadatlan, az OSzK Kézirattárában őrzött iratanyagot mutatok be, amelyet Szendrey Júlia két fiúgyermeke, Horvát Attila és ifj. Horvát Árpád „családi használatra” készített. A Tarka Müvek címet viselő, hét darabból álló sorozat folyóiratot imitált, így kiváló lehetőséget nyújt a korabeli sajtó és a család privát írásgyakorlata között megfigyelhető kölcsönhatás vizsgálatához.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934040">
    <w:multiLevelType w:val="hybridMultilevel"/>
    <w:lvl w:ilvl="0" w:tplc="174233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934040">
    <w:abstractNumId w:val="709340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03320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