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HALMI ANNAMÁRIA</w:t>
            </w:r>
          </w:p>
          <w:p w:rsidR="00C275A3" w:rsidRDefault="00A96AEC" w:rsidP="00C275A3">
            <w:pPr>
              <w:pStyle w:val="Hallgatokepzes"/>
            </w:pPr>
            <w:r>
              <w:t>irodalom- és kultúratudomány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Bartal Mária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"Boldogtalan erejü kép…" - A kép és a képszerűség szerepe Pilinszky János költészetében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tettem kísérletet, hogy bemutassam, Pilinszky János szövegeiben mennyire jelentős szerepet játszik a vizualitás, a képszerűség, illetve hogy ezek a szövegek hogyan teremtik meg adott esetben a képi dimenziót.</w:t>
      </w:r>
      <w:r>
        <w:rPr>
          <w:color w:val="000000"/>
          <w:sz w:val="24"/>
          <w:szCs w:val="24"/>
        </w:rPr>
        <w:br/>
        <w:t xml:space="preserve">Az általános áttekintés keretében, valamint az egyes versek elemzésekor is főként két képtípust helyeztem gondolatmenetem középpontjába, ezek a fotográfia és az ikon műfajai, amelyeket egyaránt fontosnak tartok a teljes szerzői életmű szempontjából is. Az elemzésre került szövegek legnagyobbrészt az 1970-es Nagyvárosi ikonok kötetből kerültek ki, illetve néhány az ezt követő időszakból, pályájának utolsó szakaszából. Annak az újabb poétikai tendenciának, amely a Nagyvárosi ikonoktól kezdődően bontakozik ki, egyik lényeges eleme éppen az általam tárgyalt jelenség: a képiség előtérbe kerülése, eluralkodása. Jóllehet, már Pilinszky első két kötetében is erőteljes hangsúlyt kap a vizualitás, ekkor azonban még sokkal inkább a víziószerűségre, a látomásosságra illetve a mozgóképszerűségre apellálnak a szövegek, nem a fotóra és az ikonra jellemző állóképszerűségre.</w:t>
      </w:r>
      <w:r>
        <w:rPr>
          <w:color w:val="000000"/>
          <w:sz w:val="24"/>
          <w:szCs w:val="24"/>
        </w:rPr>
        <w:br/>
        <w:t xml:space="preserve">Pilinszky ezen verseinek egy része pedig döntően a fotó, egy másik csoportja pedig az ikon kategóriáját helyezi előtérbe - a két kategória összevetésekor sok hasonlóságot tapasztalhatunk, mindazonáltal alapvető eltéréseket is; ez a két irány azonban nem minden esetben határolható el egymástól egyértelműen. A dolgozat legnagyobb egységét adó szövegelemzések ezeket a törekvéseket igyekeznek kimutatni és alátámasztani, amellett természetesen, hogy a képszerűség felőli megközelítésmód létjogosultságát is igazolni hivatottak.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116747">
    <w:multiLevelType w:val="hybridMultilevel"/>
    <w:lvl w:ilvl="0" w:tplc="78463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116747">
    <w:abstractNumId w:val="351167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7438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