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HALMI</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Bartal</w:t>
            </w:r>
          </w:p>
          <w:p w:rsidR="00DB4822" w:rsidRDefault="00DB4822" w:rsidP="00E11062">
            <w:pPr>
              <w:pStyle w:val="Konzulensek"/>
            </w:pPr>
            <w:r w:rsidRPr="00DB4822">
              <w:t>professor’s assistant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image of unhappy nature..." - The role of imagery in the poetry of János Pilinszky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intention of the essay is to demonstrate the definitive role of visuality and imagery in János Pilinszky’s works, moreover to examine how particular texts create a visual dimension or impression.</w:t>
      </w:r>
      <w:r>
        <w:rPr>
          <w:color w:val="000000"/>
          <w:sz w:val="24"/>
          <w:szCs w:val="24"/>
        </w:rPr>
        <w:br/>
        <w:t xml:space="preserve">Both in the general overview and the textual analyses, two types of images are of most importance: the categories of photography and icon – which both are equally significant in the oeuvre as a whole as well. The analysed poems were mostly selected from Big City Icons (Pilinszky’s collection of writings published in 1970), also including some examples of his following, final period. New poetic tendencies and programs became particularly significant in the aforementioned volume, and one of it’s most characteristic features is the central position of images and visual impulses. Albeit this aspect is prominent in the author’s early works as well, but in a different manner: in the first two volumes, images are present in the form of visionlike metaphors and film-like imagery, in contrary to the stillness and staticity represented in the latter period.</w:t>
      </w:r>
      <w:r>
        <w:rPr>
          <w:color w:val="000000"/>
          <w:sz w:val="24"/>
          <w:szCs w:val="24"/>
        </w:rPr>
        <w:br/>
        <w:t xml:space="preserve">A number of Pilinszky’s poems can be put into relation with photographic presentation, while another group of texts are more likely related to the phenomenon of the icon and iconicity. Comparing the two categories, many similarities can be found, but also fundamental differences. These two tendencies can not, in all cases be easily separated or differentiated – the analyses however, which give the major part of this paper, intend to prove that both are indeed play a substantial role in the corresponding poems.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26183">
    <w:multiLevelType w:val="hybridMultilevel"/>
    <w:lvl w:ilvl="0" w:tplc="82987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26183">
    <w:abstractNumId w:val="76526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089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