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HLAVACSKA</w:t>
            </w:r>
          </w:p>
          <w:p w:rsidR="00C275A3" w:rsidRDefault="00A96AEC" w:rsidP="00C275A3">
            <w:pPr>
              <w:pStyle w:val="Hallgatokepzes"/>
            </w:pPr>
            <w:r>
              <w:t>Literary and Cultural Studies</w:t>
            </w:r>
            <w:r>
              <w:br/>
            </w:r>
            <w:r w:rsidR="00E77B23">
              <w:t>MA, 9.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 László Bengi</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Ghost stories - How the Romantic Fantastic live on Movies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analyzed the following fantastic writings and pictures in my essay: two ballads of János Arany (A honvéd özvegye, Éjféli párbaj), a Swedish silent movie from 1921, The Phantom Carriage and The Orphanage a Spanish-Mexican coproduction from 2007. My intention was to bring to light how the themes and especially the techniques of the romantic-fantastic literature live on in the medium of pictures. Does this genre have any grounds in the 20-21st century? Can it represent a value which can withstand the test of time? Does it have any novelty? My mayor guidelines were the fantastic theory of Tzvetan Todorov and some theoretical works of Friedrich Kittler.</w:t>
      </w:r>
      <w:r>
        <w:rPr>
          <w:color w:val="000000"/>
          <w:sz w:val="24"/>
          <w:szCs w:val="24"/>
        </w:rPr>
        <w:br/>
        <w:t xml:space="preserve">From the large scale of the romantic-fantastic narrative techniques I chose the “unmarked change of point of view” as a main motive. The “unmarked change of point of view” is the change of the percipient who observes the story; however this change can only be recognized at the end of the picture/text (A honvéd özvegye) or only the rewatching/rereading (Éjféli párbaj, The Phantom Carriage, The Orphanage) sheds light on this change. The four opuses trick the reader/watcher with this technique and keep them in uncertainty. The recipient cannot decide whether to give a rational or marvellous explanation to the story.</w:t>
      </w:r>
      <w:r>
        <w:rPr>
          <w:color w:val="000000"/>
          <w:sz w:val="24"/>
          <w:szCs w:val="24"/>
        </w:rPr>
        <w:br/>
        <w:t xml:space="preserve">The ballads and the pictures use this “unmarked change of point of view” in a different way (this difference partly origins from the difference between the two medium). This can be best recognized in the ending of the opuses when the unmarked change of point of view is unveiled. These opuses motivate the recipients for a second reading/watching and throughout this second reception they can realize they were tricked. However this realization does not mean that they can decide which one is the most likely explanation: the rational one or the marvellous one. More than hundred years after the last great romantic short stories the fantastic pictures of our days (like The Orphanage) clearly send us a message that our rational experience of life and world still not stands on strong legs, and a chain of tragic events can change our view of life anytime.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39869">
    <w:multiLevelType w:val="hybridMultilevel"/>
    <w:lvl w:ilvl="0" w:tplc="97906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39869">
    <w:abstractNumId w:val="186398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319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