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JÁNOSA</w:t>
            </w:r>
          </w:p>
          <w:p w:rsidR="00C275A3" w:rsidRDefault="00A96AEC" w:rsidP="00C275A3">
            <w:pPr>
              <w:pStyle w:val="Hallgatokepzes"/>
            </w:pPr>
            <w:r>
              <w:t>comparative literary and cultural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Bengi</w:t>
            </w:r>
          </w:p>
          <w:p w:rsidR="00DB4822" w:rsidRDefault="00DB4822" w:rsidP="00E11062">
            <w:pPr>
              <w:pStyle w:val="Konzulensek"/>
            </w:pPr>
            <w:r w:rsidRPr="00DB4822">
              <w:t>assistant professor, ELTE BTK</w:t>
            </w:r>
          </w:p>
        </w:tc>
      </w:tr>
      <w:tr w:rsidR="00DB4822" w:rsidTr="00DB4822">
        <w:tc>
          <w:tcPr>
            <w:tcW w:w="9854" w:type="dxa"/>
          </w:tcPr>
          <w:p w:rsidR="00DB4822" w:rsidRPr="00DB4822" w:rsidRDefault="00DB4822" w:rsidP="004D7940">
            <w:pPr>
              <w:pStyle w:val="Konzulensek"/>
            </w:pPr>
            <w:r w:rsidRPr="00DB4822">
              <w:t>Tamás Tarján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Duchamp-öröknapok. Personality and impersonality in the "life-work" of Dezső Tandori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his drawing poetry related to Duchamp, Dezső Tandori plays with the concepts of personality and impersonality and deconstructs the boundaries between personal and impersonal poetry. This issue had already appeared in his first volume, Töredék Hamletnek. The texts of the first volume reveal that the concepts of person, space and time are peculiar language specific concepts which only exist in relation to each other. In the later stage of the oeuvre his encounter with Duchamp’s works brings conscious reflections with regard to the problem of impersonality. From the 1980s on Tandori develops his „life-work” in the spirit of Duchamp which raises the problem of autobiography as well.</w:t>
      </w:r>
    </w:p>
    <w:p>
      <w:pPr>
        <w:pBdr/>
        <w:spacing w:before="240" w:after="240" w:line="240" w:lineRule="auto"/>
        <w:ind w:left="0" w:right="0"/>
        <w:jc w:val="left"/>
      </w:pPr>
      <w:r>
        <w:rPr>
          <w:color w:val="000000"/>
          <w:sz w:val="24"/>
          <w:szCs w:val="24"/>
        </w:rPr>
        <w:t xml:space="preserve">In the drawing poem Duchamp-öröknap (published in the volume Feltételes megálló) the unity of part and wholeness, personal and impersonal appears through the internal contradiction between the picture and the text. In my paper I study the problem of impersonality in Tandori’s poetry through the poem Duchamp-öröknap and a series of drawing poems related to it. I also interprete in more detail some works of Duchamp which connect to these poems: Nude Descending a Staircase No. 2; The Passage from Virgin to Bride; Virgin; Bride.</w:t>
      </w:r>
    </w:p>
    <w:p>
      <w:pPr>
        <w:pBdr/>
        <w:spacing w:before="240" w:after="240" w:line="240" w:lineRule="auto"/>
        <w:ind w:left="0" w:right="0"/>
        <w:jc w:val="left"/>
      </w:pPr>
      <w:r>
        <w:rPr>
          <w:color w:val="000000"/>
          <w:sz w:val="24"/>
          <w:szCs w:val="24"/>
        </w:rPr>
        <w:t xml:space="preserve">The basic motif of the drawing poem series related to Duchamp-öröknap is the circle, which can refer to several works of Duchamp. Duchamp was ineterested in circular motion and its symbolism, he made several spinning works from the 1920s on (Anémic Cinema, Rotoreliefs). He wanted to create antiretinal works in which the point is that the work of art is not the picture itself - which is seen by the viewer - but it comes into existence during the process of reception with the active participation of the viewer. Duchamp’s aim was the disorientation of vision, the confusion of senses as a result of which the recipient had to reassess the impressions.</w:t>
      </w:r>
    </w:p>
    <w:p>
      <w:pPr>
        <w:pBdr/>
        <w:spacing w:before="240" w:after="240" w:line="240" w:lineRule="auto"/>
        <w:ind w:left="0" w:right="0"/>
        <w:jc w:val="left"/>
      </w:pPr>
      <w:r>
        <w:rPr>
          <w:color w:val="000000"/>
          <w:sz w:val="24"/>
          <w:szCs w:val="24"/>
        </w:rPr>
        <w:t xml:space="preserve">Tandori’s texts, similarly to Duchamp’s works, confuse the usual answers of the reader and prompt reinterpretation. It is valid throughout Tandori’s literary output that the recipient has to be involved in the process of creation. In the poems interpreted by me Tandori plays with the deconstruction of the boundaries between personality and impersonality and – by linking them to Duchamp – dissolves these categories at the same time. Impersonal poetry proves to be just as unrealisable as personal poetry since personality – just like impersonality – is inherently linked to poetry.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64726">
    <w:multiLevelType w:val="hybridMultilevel"/>
    <w:lvl w:ilvl="0" w:tplc="4597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64726">
    <w:abstractNumId w:val="78764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121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