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KAPOSI KRISZTINA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Szávai János</w:t>
            </w:r>
          </w:p>
          <w:p w:rsidR="00DB4822" w:rsidRDefault="00DB4822" w:rsidP="00E11062">
            <w:pPr>
              <w:pStyle w:val="Konzulensek"/>
            </w:pPr>
            <w:r w:rsidRPr="00DB4822">
              <w:t>professor emeritus,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Esztétikai tapasztalat és misztikus-vallásos élmény. Sík Sándor Alexiusa a Dionüsziosz Areiopagitész-i via triplex és a középkori szeretetmisztika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300" w:lineRule="auto"/>
        <w:ind w:left="0" w:right="0"/>
        <w:jc w:val="both"/>
      </w:pPr>
      <w:r>
        <w:rPr>
          <w:color w:val="000000"/>
          <w:sz w:val="24"/>
          <w:szCs w:val="24"/>
        </w:rPr>
        <w:t xml:space="preserve">Dolgozatomban Sík Sándor egy talán kevéssé ismert alkotásával, Alexius című misztériumával foglalkozom. A mű értelmezésén keresztül azt igyekszem bemutatni, hogy az a világi irodalomszemlélet számára archaikusnak ható olvasói tapasztalat, amely a művészetet (irodalmat) és a vallást, szakralitást egységben szemléli, s amely szerint az olvasás egyfajta </w:t>
      </w:r>
      <w:r>
        <w:rPr>
          <w:i/>
          <w:color w:val="000000"/>
          <w:sz w:val="24"/>
          <w:szCs w:val="24"/>
        </w:rPr>
        <w:t xml:space="preserve">unio mysticá</w:t>
      </w:r>
      <w:r>
        <w:rPr>
          <w:color w:val="000000"/>
          <w:sz w:val="24"/>
          <w:szCs w:val="24"/>
        </w:rPr>
        <w:t xml:space="preserve">hoz vezet(het), hogyan éleszthető újjá a modern irodalom közegében. Ezt a célkitűzést szem előtt tartva, Sík Alexiusát a középkor két meghatározó eszmerendszere, a Dionüsziosz Areopagitész-i misztikus teológia (mindenekelőtt a via triplex elve) és a középkori szeretetmisztika felől közelítem meg. Elgondolásom szerint e speciális interpretációs stratégia működtetése lehetővé teszi, hogy az Alexiust a kettős unio mystica irodalmi modelljeként olvashassuk: Az </w:t>
      </w:r>
      <w:r>
        <w:rPr>
          <w:i/>
          <w:color w:val="000000"/>
          <w:sz w:val="24"/>
          <w:szCs w:val="24"/>
        </w:rPr>
        <w:t xml:space="preserve">imitatio Christi</w:t>
      </w:r>
      <w:r>
        <w:rPr>
          <w:color w:val="000000"/>
          <w:sz w:val="24"/>
          <w:szCs w:val="24"/>
        </w:rPr>
        <w:t xml:space="preserve"> analógiájára ugyanis elgondolhatunk egy </w:t>
      </w:r>
      <w:r>
        <w:rPr>
          <w:i/>
          <w:color w:val="000000"/>
          <w:sz w:val="24"/>
          <w:szCs w:val="24"/>
        </w:rPr>
        <w:t xml:space="preserve">imitatio Alexii-</w:t>
      </w:r>
      <w:r>
        <w:rPr>
          <w:color w:val="000000"/>
          <w:sz w:val="24"/>
          <w:szCs w:val="24"/>
        </w:rPr>
        <w:t xml:space="preserve">t is, amely a mű befogadásának eredményeképpen az olvasó életébe beépülve egy második </w:t>
      </w:r>
      <w:r>
        <w:rPr>
          <w:i/>
          <w:color w:val="000000"/>
          <w:sz w:val="24"/>
          <w:szCs w:val="24"/>
        </w:rPr>
        <w:t xml:space="preserve">unio mystica</w:t>
      </w:r>
      <w:r>
        <w:rPr>
          <w:color w:val="000000"/>
          <w:sz w:val="24"/>
          <w:szCs w:val="24"/>
        </w:rPr>
        <w:t xml:space="preserve"> lehetőségét hordozza magában. Sík alkotásának ezt a második, jóval mélyebb szinten meghúzódó, sokkal összetettebb szemantikai rétegét mindenekelőtt a mű intertextuális-parafrasztikus hálójára (legfőképp a mű erős bibliai intertextualizáltságára és a theologia mystica gondolati struktúráinak mély jelenlétére) és pragmatikai szöveggenerációs eljárásaira figyelve fejthetjük fel; de az alexiusi deificatio értelmezéséhez segítségül hívott dionüszioszi spirituális modellben is elhelyezhetjük, ezáltal egy kétszeres interpretációs keretbe illesztve a műben meghúzódó unio mystica egyszerre esztétikai-irodalmi és misztikus-vallásos tapasztalatát.</w:t>
      </w:r>
    </w:p>
    <w:p/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753638">
    <w:multiLevelType w:val="hybridMultilevel"/>
    <w:lvl w:ilvl="0" w:tplc="689239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753638">
    <w:abstractNumId w:val="467536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07060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