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KISS</w:t>
            </w:r>
          </w:p>
          <w:p w:rsidR="00C275A3" w:rsidRDefault="00A96AEC" w:rsidP="00C275A3">
            <w:pPr>
              <w:pStyle w:val="Hallgatokepzes"/>
            </w:pPr>
            <w:r>
              <w:t>Department of English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Timar</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 would be Better to Live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deal with the novella of Péter Hajnóczy, entitled “Death Road out of Persia”. I make my analyses through and with the help of texts of literary theory and theories of addiction. I resolve the problematics of the paradoxes (writing, alcohol, smoking) with Derrida’s theory of the pharmakon. I will consider the identity search and construction of the self (the “I”) as the central motive, which I will approach through Nietzsche’s analogy of the Apollonian and the Dionysian. In my essay, the Apollonian appears as the responsible representation of an outside control, and the Dionysian appears as the responsible representation of ecstasy and intoxication.</w:t>
      </w:r>
      <w:r>
        <w:rPr>
          <w:color w:val="000000"/>
          <w:sz w:val="24"/>
          <w:szCs w:val="24"/>
        </w:rPr>
        <w:br/>
        <w:t xml:space="preserve">I will describe the contexts of the self’s realisation separately, once on the level of the boy and once on the level of the man. For this description, I use the essays of Gerda Reith, which concern the theories of addiction. I will lay special emphasis on the wishes and (unfulfilled) desires for the women appearing on the given levels, and also on control, on (the illusion of) freedom from the perspectives of addiction. I will give a short description of the emerging of the concept of the addict and addiction through Foucault’s track of thoughts. Besides Reith, I will investigate the relationship of freedom and addiction through Gadamer’s theory of plays.</w:t>
      </w:r>
      <w:r>
        <w:rPr>
          <w:color w:val="000000"/>
          <w:sz w:val="24"/>
          <w:szCs w:val="24"/>
        </w:rPr>
        <w:br/>
        <w:t xml:space="preserve">After analysing the two levels separately, I will focus on the narratologically overlapping elements of the two, on the nightmares, with special emphasis on the last nightmare also appearing in the title of the novella, which I will interpret as a kind of boundary following the logic of Heidegger. This will give an opportunity for the self to construct itself and to dissolve in this situation.</w:t>
      </w:r>
      <w:r>
        <w:rPr>
          <w:color w:val="000000"/>
          <w:sz w:val="24"/>
          <w:szCs w:val="24"/>
        </w:rPr>
        <w:br/>
        <w:t xml:space="preserve">Finally, I would like to draw parallels between the novella and Percy B. Shelley’s „Ode to the West Wind”.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67601">
    <w:multiLevelType w:val="hybridMultilevel"/>
    <w:lvl w:ilvl="0" w:tplc="43147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67601">
    <w:abstractNumId w:val="96867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792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