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GYÖRGYI KOVÁCS</w:t>
            </w:r>
          </w:p>
          <w:p w:rsidR="00C275A3" w:rsidRDefault="00A96AEC" w:rsidP="00C275A3">
            <w:pPr>
              <w:pStyle w:val="Hallgatokepzes"/>
            </w:pPr>
            <w:r>
              <w:t>Philologist in Hungarian Studies (Literary Studies), Computer Librarian (Information and knowledge management)</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Szilágyi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Venus of Murány in the 19. century. János Arany: Murány ostroma, Sándor Petőfi: Szécsi Mária, Mihály Tompa: Szécsi Mária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would like to reflect on the breaking of the vow in János Arany’s Murány ostroma, comparing it with the same issue in Sándor Petőfi’s Szécsi Mária and Mihály Tompa’s Szécsi Mária. All of these poems are adaptations of the theme ‘the Venus of Murány’, the first work in this subject is the Márssal társolkodó Murányi Vénusz by István Gyöngyösi, who was followed by several poets and writers. Unfortunately I can’t examine all of the adaptations in this essay, I chose only the three poets, especially János Arany, because I think that this issue is the most complicated in his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71783">
    <w:multiLevelType w:val="hybridMultilevel"/>
    <w:lvl w:ilvl="0" w:tplc="81688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71783">
    <w:abstractNumId w:val="72371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249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