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ROTH</w:t>
            </w:r>
          </w:p>
          <w:p w:rsidR="00C275A3" w:rsidRDefault="00A96AEC" w:rsidP="00C275A3">
            <w:pPr>
              <w:pStyle w:val="Hallgatokepzes"/>
            </w:pPr>
            <w:r>
              <w:t>Hungarian major</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Bengi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reinterpretation of „Meztelenül” in the light of its reception and Kosztolányi’s oeuvre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review Meztelenül by Kosztolányi Dezső. In his quite extensive reception – considering its degree – his different volumes of poetry are processed to a varying extent, which disproportion entails that some of Kosztolányi’s work come into the front, others are pushed into the back – or even be underrated. We can experience the same observing the reception of the volume Meztelenül: comparing to his other collections, its literature is little and somehow shallow at certain points.</w:t>
      </w:r>
    </w:p>
    <w:p>
      <w:pPr>
        <w:pBdr/>
        <w:spacing w:before="240" w:after="240" w:line="240" w:lineRule="auto"/>
        <w:ind w:left="0" w:right="0"/>
        <w:jc w:val="left"/>
      </w:pPr>
      <w:r>
        <w:rPr>
          <w:color w:val="000000"/>
          <w:sz w:val="24"/>
          <w:szCs w:val="24"/>
        </w:rPr>
        <w:t xml:space="preserve">Taking this as my starting point, I introduce and interpret the different directions of the literature, and the ideological base of the certain voices, respectively. On the one hand, I observe the volume in relation to the other parts of the oeuvre, by taking into account the similarities and differences to them. To put another way, in which way it is innovative, and which way it is conservative, how it is the consequent of the preceding volumes, or the antecedent of the succeeding ones. On the other hand, I will point out that the changes manifesting in Kosztolányi’s poetry are not isolated, but fit into a broader context: the certain motifs and phenomena of the volume and poems themselves conform to the series of contemporary poetic modulations.</w:t>
      </w:r>
    </w:p>
    <w:p>
      <w:pPr>
        <w:pBdr/>
        <w:spacing w:before="240" w:after="240" w:line="240" w:lineRule="auto"/>
        <w:ind w:left="0" w:right="0"/>
        <w:jc w:val="left"/>
      </w:pPr>
      <w:r>
        <w:rPr>
          <w:color w:val="000000"/>
          <w:sz w:val="24"/>
          <w:szCs w:val="24"/>
        </w:rPr>
        <w:t xml:space="preserve">The aim of this paper is to – reacting the aspects of the literature – display and redefine the volume’s part in the oeuvre, together with pointing out that the volume deserves attention in itself, not only in relation to Kosztolányi’s other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19936">
    <w:multiLevelType w:val="hybridMultilevel"/>
    <w:lvl w:ilvl="0" w:tplc="12449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19936">
    <w:abstractNumId w:val="70519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474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