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SURÁNYI</w:t>
            </w:r>
          </w:p>
          <w:p w:rsidR="00C275A3" w:rsidRDefault="00A96AEC" w:rsidP="00C275A3">
            <w:pPr>
              <w:pStyle w:val="Hallgatokepzes"/>
            </w:pPr>
            <w:r>
              <w:t>Literature and Culture Studies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Eisemann</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Interplay between mediums regarding the dialogicity of identity formation. Remembering as reading and reading as remembering in János Vajda's and Lőrinc Szabó's poetry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topic of the paper is the lyric of János Vajda. The essay’s initial question is: how can one read Vajda’s and Lőrinc Szabó’s works together, thus eliminating the conventional role of Vajda as a bridge, as a transitional figure between the romantic tradition and symbolism? The answerability of the question concerns memory and its mediality: the way it can be related to the concept of reading due to its repetitionary nature. As memory itself can be interpreted as a medium, the essay mentions its interactions with other mediums as well. Memory plays a significant role in both Vajda’s and Szabó’s poetry: the emphasis being put not exclusively on the object of memory, but also on the working mechanism of remembrance. The paper interprets their texts jointly, the most important aspect being whether the subject creates the memory, or the mere existence of the subject itself is dependant on the process of recollection. This dilemma is the starting point of the interpretative work, which intends to discover the similarities in the poetry of the two authors. On the other hand, the essay also contains the differences between them, with emphasis on „frozen time”, which is a cardinal aspect of Vajda’s literature. In correlation, it can be established that the subject, in a similarly dialogical manner, defines itself opposed to the difference that the aphostrophised other represents. However, the subject intends to relive the sense of alienation experienced yet in the past, which experience had already led to its own identification. It searches for and aspires to address the exact same alienness, but what it fails to recognise is when this alienness manages to resurface, this alienness has already differentiated and alienated from its past – as a consecuence, the subject can only found familiarity instead of alienation. This is how the dialogical interpretation of the past becomes questioned and put into doubt, offering a monological interpretation. On the other hand, the elimination of the other also leads to the liquidation of the self, the subject. The traditional reading of romanticism’s mnemotechnics, which consider memory as an instrument of monological self-establishment, according to the above, can not be considered appropriate, as in the corresponding texts remembrance can be interpreted as a failure – a failed intention to establish a subject.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70220">
    <w:multiLevelType w:val="hybridMultilevel"/>
    <w:lvl w:ilvl="0" w:tplc="11519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70220">
    <w:abstractNumId w:val="852702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4122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