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TARDY</w:t>
            </w:r>
          </w:p>
          <w:p w:rsidR="00C275A3" w:rsidRDefault="00A96AEC" w:rsidP="00C275A3">
            <w:pPr>
              <w:pStyle w:val="Hallgatokepzes"/>
            </w:pPr>
            <w:r>
              <w:t>MA in Literary and Cultural Criticism</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Zsófia Szilágyi</w:t>
            </w:r>
          </w:p>
          <w:p w:rsidR="00DB4822" w:rsidRDefault="00DB4822" w:rsidP="00E11062">
            <w:pPr>
              <w:pStyle w:val="Konzulensek"/>
            </w:pPr>
            <w:r w:rsidRPr="00DB4822">
              <w:t>research fellow ,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Approaching the Mirror: manuscripts of the Tükör tomes by Zsigmond Móricz</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One of the most promising turns in the arising Móricz studies in the last decade is the discovery of the writers handwritten legacy, it’s process and it’s integration into the discourse about the oeuvre.</w:t>
      </w:r>
      <w:r>
        <w:rPr>
          <w:color w:val="000000"/>
          <w:sz w:val="24"/>
          <w:szCs w:val="24"/>
        </w:rPr>
        <w:br/>
        <w:t xml:space="preserve">Beside the lately published diaries, readers could peek into the so-called Tükör tome. This is the collection of texts with such a unique character which on the one hand can be and should be distinguished from other parts of the heritage and on the other hand provides an opportunity to examine from many different aspects with which we can expand our knowledge of the writing practices of Móricz Zsigmond with information unavailable beforehand.</w:t>
      </w:r>
      <w:r>
        <w:rPr>
          <w:color w:val="000000"/>
          <w:sz w:val="24"/>
          <w:szCs w:val="24"/>
        </w:rPr>
        <w:br/>
        <w:t xml:space="preserve">In my paper, beside the general introduction of the manuscript, I aim to formulate new recommendations for reading through the presentation of previously articulated approaches and the experience drawn from my own research by which formal and thematic heterogeneity and dynamism of the texts can be observed.</w:t>
      </w:r>
      <w:r>
        <w:rPr>
          <w:color w:val="000000"/>
          <w:sz w:val="24"/>
          <w:szCs w:val="24"/>
        </w:rPr>
        <w:br/>
        <w:t xml:space="preserve">In order to do so, I examine the part of heritage in question within the oevre, from the aspect of the literary biography, while also giving it a broader context by placing it inside the frame of traditional literature.</w:t>
      </w:r>
      <w:r>
        <w:rPr>
          <w:color w:val="000000"/>
          <w:sz w:val="24"/>
          <w:szCs w:val="24"/>
        </w:rPr>
        <w:br/>
        <w:t xml:space="preserve">Through Tükör, we can not only get a glimpse from the writer’s workshop of Móricz, learn more about his way of crafting texts, but also get to observe the picture painted of the writer from a different perspective thus proving that this ensemble of texts is an essential, indispensable part of today’s Móricz-studies.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277167">
    <w:multiLevelType w:val="hybridMultilevel"/>
    <w:lvl w:ilvl="0" w:tplc="26634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277167">
    <w:abstractNumId w:val="982771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254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