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TINKÓ MÁTÉ</w:t>
            </w:r>
          </w:p>
          <w:p w:rsidR="00C275A3" w:rsidRDefault="00A96AEC" w:rsidP="00C275A3">
            <w:pPr>
              <w:pStyle w:val="Hallgatokepzes"/>
            </w:pPr>
            <w:r>
              <w:t>irodalom- és kultúratudomány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Fráter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életmű törvényes állomásán elidőzni. Megjegyzések Galgóczi Erzsébet Törvényen belül című művének újragondolásához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Galgóczi Erzsébet két kisregényből álló kötete 1980-ban jelent meg a Szépirodalmi Könyvkiadó gondozásában. A munka közvetlen recepciója és az azóta eltelt bő harminc év irodalomtörténeti eseményei, a szerző körüli mérsékelt figyelem egyre inkább a feledésbe merülést involválja, homály borul a Galgóczi-életműre. Mi sem jellemzőbb erre a tendenciára, minthogy az 1999-es évben ismét kiadott, cselekményében a MAORT-pert feldolgozó Vidravas a Babits Kiadó Korjellemző Magyar Próza kiadványában kapott helyet, ezzel is erősen determinálva befogadásának, értelmezésének lehetőségeit. Ami viszont kétségtelen tény: amennyiben elfogadjuk, hogy a szerző realizmusigényében az adott kor politikai és morális kérdéseire kívánt reflektálni, magyarázatokat, válaszlehetőségeket találni (legyen szó a munkák akár szociografikus, akár belletrisztikai módjáról), úgy számolnunk kell, aktualitás hiányában, a megképződő történeti distancia révén az életmű devalválódásával (ahogy ez számos, a szocializmus keretein belül elhelyezhető szerző esetében fölmerülhet). Dolgozatom szándéka szerteágazó: a kötet második kisregényének, a Törvényen belülnek elemzésével nemcsak utólagos értékmentést szeretnék végrehajtani a szerzői életmű e darabján, hanem rámutatni olyan politikai és esztétikai aspektusokra is, amelyek mentén személyes irodalmi elképzelésem legitimmé válik, tehát hogy ezen kategóriák egymás relációjában vizsgálandóak, és tévedés volna azt hinnünk, hogy a referenciális olvasat lehetősége kizárólagosságra, egyben szükségszerű önérték-vesztésre kárhoztatná a diegetikus világban foglaltakat. Érintőlegesen reagálni szeretnék majd a dolgozat koncepciójának összetettségére, amelynek így a hermeneutikai hagyomány kritikájával is számolnia kell, amennyiben elméletének implikációit maradéktalanul nem fogadhatja el. Már eleve a kisregényre adott első válaszok, a folyóiratokban megjelent recenziók kerülgetik ezt a konfliktust, anélkül, hogy bármiféle mélyebb teoretikus keretet adnának a vitának. Persze egyéb tájékozódási útvonalak is mutatkoznak a munka kapcsán, gondolok itt például a feminista irodalomkritikára, amellyel ˗˗ zárójelbe téve, hogy ismeretünk lehet arról, Galgóczi mint szerző és magánember, nyíltan elutasította az efelé tájékozódó értelmezéseket – óvatosan, de éppúgy számot kell vetnünk.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569151">
    <w:multiLevelType w:val="hybridMultilevel"/>
    <w:lvl w:ilvl="0" w:tplc="877992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569151">
    <w:abstractNumId w:val="105691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6747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