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MÁTÉ TINKÓ</w:t>
            </w:r>
          </w:p>
          <w:p w:rsidR="00C275A3" w:rsidRDefault="00A96AEC" w:rsidP="00C275A3">
            <w:pPr>
              <w:pStyle w:val="Hallgatokepzes"/>
            </w:pPr>
            <w:r>
              <w:t>Literary and Cultural Studies</w:t>
            </w:r>
            <w:r>
              <w:br/>
            </w:r>
            <w:r w:rsidR="00E77B23">
              <w:t>MA, 1.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Zoltán Fráter</w:t>
            </w:r>
          </w:p>
          <w:p w:rsidR="00DB4822" w:rsidRDefault="00DB4822" w:rsidP="00E11062">
            <w:pPr>
              <w:pStyle w:val="Konzulensek"/>
            </w:pPr>
            <w:r w:rsidRPr="00DB4822">
              <w:t>associate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Dwelling on a legitimate chapter of an artist's ouvre. Notes on reconsideration of Erzsébet Galgóczi's "Törvényen belül".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Erzsébet Galgóczi's volume of two long-short stories was published in 1980 by Szépirodalmi Könyvkiadó. The immediate reception of her work and the literary history of the last 30 years, the moderate attention around the author involves sinking more and more into oblivion, the Galgóczi-ouvre is becoming obscure. Nothing represents this tendency more than her work called Vidravas, elaborating the MAORT-case, which was republished in 1999 and received a spot in Babits Kiadó's publication, Korjellemző Magyar Próza, strongly determining the possibilities of its acceptance and interpretation. It is apparent, that if we accept, that the author wanted to reflect on the given age's political and moral questions in her pretension of realism, tried to find explanation (be it the works of either sociographical or belletristical methods), then we must face, in the lack of actuality, the depreciation of her ouvre because of the historical distance (as it can be seen in the case of many authors living in the time of socialism). The goal of my paper is diverse: with the analysis of the volume's second story, Törvényen belül, not only do I want to perform a posterior preservation of value on this piece of the author's ouvre, I would also like to point out such political and aesthetic aspects by which my personal literary notion becomes legitimate, therefore that these categories are to be analised in the relation of each other, and it would be a mistake to think that the possibility of a referential reading could condemn the diegetic world to exclusivity and an inevitable loss of self-virtue. I would like to respond to the complexity of the paper's conception, which has to recon with the traditional hermeneutics, in case it cannot accept the implications of its conception. The first reactions and reviews already tried to avoid this conflict without giving any theoretical background to the debate. Of course there are other paths of analization concerning the work, for example the feminist literary criticism, which – though it is known, that Galgócz openly rejected these kind of interpretations both as an author and a citizen – we also have to consider.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318374">
    <w:multiLevelType w:val="hybridMultilevel"/>
    <w:lvl w:ilvl="0" w:tplc="419721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318374">
    <w:abstractNumId w:val="2431837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2660616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