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UJVÁRI</w:t>
            </w:r>
          </w:p>
          <w:p w:rsidR="00C275A3" w:rsidRDefault="00A96AEC" w:rsidP="00C275A3">
            <w:pPr>
              <w:pStyle w:val="Hallgatokepzes"/>
            </w:pPr>
            <w:r>
              <w:t>Hungarian language and literature</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Ernő Kulcsár Szabó</w:t>
            </w:r>
          </w:p>
          <w:p w:rsidR="00DB4822" w:rsidRDefault="00DB4822" w:rsidP="00E11062">
            <w:pPr>
              <w:pStyle w:val="Konzulensek"/>
            </w:pPr>
            <w:r w:rsidRPr="00DB4822">
              <w:t>professor, ELTE BTK</w:t>
            </w:r>
          </w:p>
        </w:tc>
      </w:tr>
      <w:tr w:rsidR="00DB4822" w:rsidTr="00DB4822">
        <w:tc>
          <w:tcPr>
            <w:tcW w:w="9854" w:type="dxa"/>
          </w:tcPr>
          <w:p w:rsidR="00DB4822" w:rsidRPr="00DB4822" w:rsidRDefault="00DB4822" w:rsidP="004D7940">
            <w:pPr>
              <w:pStyle w:val="Konzulensek"/>
            </w:pPr>
            <w:r w:rsidRPr="00DB4822">
              <w:t>György Eisemann</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Emerge from the dark clouds – the tragedy of Bánk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With reference to Ban Bánk, the drama of József Katona, it can be said that there are immense technical literature available to observing eyes. The theories of authors dealing with this writing, which have both linkages and contradictions here and there, also reflect their subjective opinions. This not only results in a growing material of reception history but also suggests that the judgement of the drama keeps changing from age to age, thus making its constant reinterpretation necessary.</w:t>
      </w:r>
    </w:p>
    <w:p>
      <w:pPr>
        <w:pBdr/>
        <w:spacing w:before="240" w:after="240" w:line="240" w:lineRule="auto"/>
        <w:ind w:left="0" w:right="0"/>
        <w:jc w:val="left"/>
      </w:pPr>
      <w:r>
        <w:rPr>
          <w:color w:val="000000"/>
          <w:sz w:val="24"/>
          <w:szCs w:val="24"/>
        </w:rPr>
        <w:br/>
        <w:t xml:space="preserve">In my essay I emhasize the classicist approach resting on Aristotelian traditions including aesthetic and ethical norms. I attempt to reinterpret the tragedy of Bánk on the grounds of Aristotelian ethics.</w:t>
      </w:r>
      <w:r>
        <w:rPr>
          <w:color w:val="000000"/>
          <w:sz w:val="24"/>
          <w:szCs w:val="24"/>
        </w:rPr>
        <w:br/>
        <w:t xml:space="preserve">From the beginning of the 19th century the main interpretation of Ban Bánk has been focused around the question of the tragedy. I considered important to sketch up both classical and modern conceptions to outline my personal approach. I presume universal order in accordance with the classical explanations thus professing the necessity of tragic crime. Keeping the concept and defining it as the hubris of the hero, I would like to point it out in the big monologue in the end of the first act, opening up new prospects of interpretation.</w:t>
      </w:r>
    </w:p>
    <w:p>
      <w:pPr>
        <w:pBdr/>
        <w:spacing w:before="240" w:after="240" w:line="240" w:lineRule="auto"/>
        <w:ind w:left="0" w:right="0"/>
        <w:jc w:val="left"/>
      </w:pPr>
      <w:r>
        <w:rPr>
          <w:color w:val="000000"/>
          <w:sz w:val="24"/>
          <w:szCs w:val="24"/>
        </w:rPr>
        <w:br/>
        <w:t xml:space="preserve">I focused on Bánk as the hero of the work who is in the center of the story's tragedy and falls in the midst of the abundance of action. The inner world of the drama is based on harmony and undisturbed order, which, due to its universal being, also includes natural and social rules. Breaking these rules, in case of Bánk commiting the crime, results in the fall of the hero.</w:t>
      </w:r>
    </w:p>
    <w:p>
      <w:pPr>
        <w:pBdr/>
        <w:spacing w:before="240" w:after="240" w:line="240" w:lineRule="auto"/>
        <w:ind w:left="0" w:right="0"/>
        <w:jc w:val="left"/>
      </w:pPr>
      <w:r>
        <w:rPr>
          <w:color w:val="000000"/>
          <w:sz w:val="24"/>
          <w:szCs w:val="24"/>
        </w:rPr>
        <w:br/>
        <w:t xml:space="preserve">I would also like to prove that no moral responsibility lies on the hero for commiting the murder, the assassination of the queen. With the murder Bánk is committing a crime making thus his fall becomes inevitable, which is to be realized through grasping the truth. His tragedy becomes complete when he comes to the evaluation of his actions and is confronted with the way of the commitment of the crime.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243298">
    <w:multiLevelType w:val="hybridMultilevel"/>
    <w:lvl w:ilvl="0" w:tplc="39608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243298">
    <w:abstractNumId w:val="782432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9442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