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PÁSZTOR</w:t>
            </w:r>
          </w:p>
          <w:p w:rsidR="00C275A3" w:rsidRDefault="00A96AEC" w:rsidP="00C275A3">
            <w:pPr>
              <w:pStyle w:val="Hallgatokepzes"/>
            </w:pPr>
            <w:r>
              <w:t>history, hungarian sign language</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Bartha</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Deafness as a Construction in Hungarian Discourses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Language, as a tool of exercise of the 'symbolic power' of Bourdieu, participates in the representation of the perceptible entities, and with its agency, it not only describes their characteristics, but also constitutes them. It doesn’t exist in the world as an abstract, independent being. It is inseparably attached to its users, to their thoughts and theoretical frameworks. Language interacts with the environment that it creates and in which it is born.</w:t>
      </w:r>
    </w:p>
    <w:p>
      <w:pPr>
        <w:pBdr/>
        <w:spacing w:before="240" w:after="240" w:line="240" w:lineRule="auto"/>
        <w:ind w:left="0" w:right="0"/>
        <w:jc w:val="left"/>
      </w:pPr>
      <w:r>
        <w:rPr>
          <w:color w:val="000000"/>
          <w:sz w:val="24"/>
          <w:szCs w:val="24"/>
        </w:rPr>
        <w:t xml:space="preserve">In our everyday language, we use numerous concepts without own conceptualization, and that phenomenon reveals that those discourses which define the semantic value of the linguistic units are able to extend their own interpretations unawares to the participants. This process can be observed in the tradition of defining disability. The authors searching for alternatives to the biological, medical utterance redefined the concept from a social, anthropological perspective, establishing a parallel discourse which has a dialogical relation to the pathological opinion. Minority can be put as a construction too, and it is also used automatically.</w:t>
      </w:r>
    </w:p>
    <w:p>
      <w:pPr>
        <w:pBdr/>
        <w:spacing w:before="240" w:after="240" w:line="240" w:lineRule="auto"/>
        <w:ind w:left="0" w:right="0"/>
        <w:jc w:val="left"/>
      </w:pPr>
      <w:r>
        <w:rPr>
          <w:color w:val="000000"/>
          <w:sz w:val="24"/>
          <w:szCs w:val="24"/>
        </w:rPr>
        <w:t xml:space="preserve">In relation to the Deaf, both concepts are parts of the scientific literature. The understanding of the world’s deaf population has two general forms: they can be conceived as hearing-impaired patients and members of a linguistic minority. Phrasing and conceptual domains are the most powerful means with which the discourses express their theoretical base. Cognitive linguistics points out that we try to make our abstract experiences definable primarily by relating them to our bodies, and we are intent on forming prototypes during the categorization of the entities, which inevitably implies the process of simplification. Thus the biological discourse is not only maintained by its own register, but also by the epistemological attributes of the vocal language based society.</w:t>
      </w:r>
    </w:p>
    <w:p>
      <w:pPr>
        <w:pBdr/>
        <w:spacing w:before="240" w:after="240" w:line="240" w:lineRule="auto"/>
        <w:ind w:left="0" w:right="0"/>
        <w:jc w:val="left"/>
      </w:pPr>
      <w:r>
        <w:rPr>
          <w:color w:val="000000"/>
          <w:sz w:val="24"/>
          <w:szCs w:val="24"/>
        </w:rPr>
        <w:t xml:space="preserve">Corresponding to the recent international scientific literature and using its achievements in a new, integrated framework, this paper demonstrates the methods of construing deafness in Hungary, through the empirical analysis of the sources of the internal discourse of the Hungarian Deaf community. Besides the demonstration of the mechanism, it tries to answer the question of the linguocultural perspective’s being a paradigm separate from the pathological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27494">
    <w:multiLevelType w:val="hybridMultilevel"/>
    <w:lvl w:ilvl="0" w:tplc="47903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27494">
    <w:abstractNumId w:val="27627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905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