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LUCA ANNA</w:t>
            </w:r>
          </w:p>
          <w:p w:rsidR="00C275A3" w:rsidRDefault="00A96AEC" w:rsidP="00C275A3">
            <w:pPr>
              <w:pStyle w:val="Hallgatokepzes"/>
            </w:pPr>
            <w:r>
              <w:t>Magyar nyelv és irodalom </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Farkas Tamás</w:t>
            </w:r>
          </w:p>
          <w:p w:rsidR="00DB4822" w:rsidRDefault="00DB4822" w:rsidP="00E11062">
            <w:pPr>
              <w:pStyle w:val="Konzulensek"/>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Személynévadás, kulturális kongruencia és a névváltoztatások megjelenése a Borsszem Jankó zsidó figurákra vonatkozó névanyagában a 20. század első felében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19. század második felében létrejött élclapok tartalmát az aktuális történelmi és társadalmi helyzetekre reflektáló, anekdotikus történetek és tipizált figurák határoztak meg. Az új sajtótípus olvasóközönségét tekintve közös szociokulturális ismeretekre alapozhatott, amelyek többek között az élclapbeli szövegekben megmutatkozó névadási gyakorlatot is meghatározták: egy-egy személynév etnikai szimbólumként vagy társadalmi identitást jelezve egyúttal a nevet viselő – és többnyire karakterisztikus társadalmi csoportot reprezentáló – figura csoporttagságát is jelölte, elsősorban a fiktív nevek (látszólagos) információtartalmának és konnotatív értékének felhasználásával.</w:t>
      </w:r>
    </w:p>
    <w:p>
      <w:pPr>
        <w:pBdr/>
        <w:spacing w:before="240" w:after="240" w:line="240" w:lineRule="auto"/>
        <w:ind w:left="0" w:right="0"/>
        <w:jc w:val="left"/>
      </w:pPr>
      <w:r>
        <w:rPr>
          <w:color w:val="000000"/>
          <w:sz w:val="24"/>
          <w:szCs w:val="24"/>
        </w:rPr>
        <w:t xml:space="preserve">Dolgozatomban a korszak leghosszabb ideig fennálló magyar élclapjában, a Borsszem Jankóban feltűnő zsidó figurák személynévanyagát elemzem, különös tekintettel a névmagyarosítás megjelenítésére és a névelemek közti kulturális kongruenciára. Munkám során 6 évfolyam (1901, 1910, 1920, 1929, 1933, 1937) zsidó szereplőinek neveit, összesen 868 adatot dolgoztam fel. A korpusz kialakítása során az évfolyamok tízévenkénti vizsgálatára törekedtem, a válogatást azonban kiadástörténeti szempontok is meghatározták.</w:t>
      </w:r>
    </w:p>
    <w:p>
      <w:pPr>
        <w:pBdr/>
        <w:spacing w:before="240" w:after="240" w:line="240" w:lineRule="auto"/>
        <w:ind w:left="0" w:right="0"/>
        <w:jc w:val="left"/>
      </w:pPr>
      <w:r>
        <w:rPr>
          <w:color w:val="000000"/>
          <w:sz w:val="24"/>
          <w:szCs w:val="24"/>
        </w:rPr>
        <w:t xml:space="preserve">A vizsgálatban összegzem a névanyag egyén- és családneveit érintő legfontosabb jellemzőket és a névadás alakulásában tapasztalható tendenciákat, továbbá foglalkozom a fiktív család- és egyénnevek identitásjegyként, illetve csoportsajátos névként való értelmezhetőségével, az élclapi és a korabeli zsidó névhasználat közti összefüggésekkel és eltérésekkel, valamint a nevek asszociációs értékével, különös tekintettel a magyarosított családnevekre. Bemutatom a családnév-változtatás élclapbeli megjelenését és recepcióját, valamint – az élclapi névanyag tanulmányozásába bevont új szempontként – vizsgálom a teljes személynév két tagja közti kulturális kongruenciát is, amely a nevek általi humorteremtés fontos eszközének bizonyul.</w:t>
      </w:r>
    </w:p>
    <w:p>
      <w:pPr>
        <w:pBdr/>
        <w:spacing w:before="240" w:after="240" w:line="240" w:lineRule="auto"/>
        <w:ind w:left="0" w:right="0"/>
        <w:jc w:val="left"/>
      </w:pPr>
      <w:r>
        <w:rPr>
          <w:color w:val="000000"/>
          <w:sz w:val="24"/>
          <w:szCs w:val="24"/>
        </w:rPr>
        <w:t xml:space="preserve">Az elemzésből kiderül, hogy a zsidó figurákra vonatkozó névanyagot a korpusz által átfogott, több időszakra bontható, hosszú periódusban jelentkező politikai és szociokulturális változások, valamint az élclap asszimiláns zsidóságot támogató, a zsidók idegen kultúrájú, nagypolgári rétegét azonban támadó profilja is meghatározza.</w:t>
      </w:r>
    </w:p>
    <w:p>
      <w:pPr>
        <w:pBdr/>
        <w:spacing w:before="240" w:after="240" w:line="240" w:lineRule="auto"/>
        <w:ind w:left="0" w:right="0"/>
        <w:jc w:val="left"/>
      </w:pPr>
      <w:r>
        <w:rPr>
          <w:color w:val="000000"/>
          <w:sz w:val="24"/>
          <w:szCs w:val="24"/>
        </w:rPr>
        <w:t xml:space="preserve">Az elsősorban történeti onomasztikai, ugyanakkor interdiszciplináris jellegű vizsgálat a korszak sajtó- és társadalomtörténeti vonatkozásait személynév-kutatási szempontokkal egészíti ki, és a sztereotípiakutatáshoz is hasznos adatokkal szolgál.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59737">
    <w:multiLevelType w:val="hybridMultilevel"/>
    <w:lvl w:ilvl="0" w:tplc="15761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59737">
    <w:abstractNumId w:val="69259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212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