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LUCA NÉMETH</w:t>
            </w:r>
          </w:p>
          <w:p w:rsidR="00C275A3" w:rsidRDefault="00A96AEC" w:rsidP="00C275A3">
            <w:pPr>
              <w:pStyle w:val="Hallgatokepzes"/>
            </w:pPr>
            <w:r>
              <w:t>Hungarian Language and Literature </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Farkas</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Name giving, cultural congruence and the appearance of family name changes in the name stock referring to Jewish characters in Borsszem Jankó in the first half of the 20th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Humour magazines developed in the second half of the 19th century contained anecdotic texts reflecting on the contemporary historical and social situation and typical figures. This new type of magazines had such reading public based on common sociocultural knowledge that determined the name giving practice appearing in the texts: the personal names indicated social identity, just as ethnical symbols denoted the group membership of the name’s owner, who usually characterized a social group. For this, the (supposed) information content and connotative value of fictive names have been used.</w:t>
      </w:r>
    </w:p>
    <w:p>
      <w:pPr>
        <w:pBdr/>
        <w:spacing w:before="240" w:after="240" w:line="240" w:lineRule="auto"/>
        <w:ind w:left="0" w:right="0"/>
        <w:jc w:val="left"/>
      </w:pPr>
      <w:r>
        <w:rPr>
          <w:color w:val="000000"/>
          <w:sz w:val="24"/>
          <w:szCs w:val="24"/>
        </w:rPr>
        <w:t xml:space="preserve">The study analyses the name stock referring to Jewish characters occurring in Borsszem Jankó, which is the humour magazine existing for the longest time in this period. The paper examines the appearance of Magyarization and the cultural congruence between first and family names. During the research the Jewish characters’ names of 6 volumes (1901, 1910, 1920, 1929, 1933, 1937), altogether 868 items, have been elaborated. By designing the corpus the aim was to examine the volumes decennially, but the selection was influenced by aspects of edition history as well.</w:t>
      </w:r>
    </w:p>
    <w:p>
      <w:pPr>
        <w:pBdr/>
        <w:spacing w:before="240" w:after="240" w:line="240" w:lineRule="auto"/>
        <w:ind w:left="0" w:right="0"/>
        <w:jc w:val="left"/>
      </w:pPr>
      <w:r>
        <w:rPr>
          <w:color w:val="000000"/>
          <w:sz w:val="24"/>
          <w:szCs w:val="24"/>
        </w:rPr>
        <w:t xml:space="preserve">The paper summarizes the relevant characteristics of the first and family names in the name stock and the trends of the name giving process. The author discusses how fictive family and first names can be interpreted as identity marks or group specific names, also examines the coherence and differences between the real and fictive Jewish names appearing in the magazine, and the associative value of the names and magyarized family names. The paper presents the appearance and the reception of the change of family names, and as a new aspect in the examination of a humour magazine’s name stock, the cultural congruence between the two elements of the personal name, which proved to be a relevant part of creating humour by names.</w:t>
      </w:r>
    </w:p>
    <w:p>
      <w:pPr>
        <w:pBdr/>
        <w:spacing w:before="240" w:after="240" w:line="240" w:lineRule="auto"/>
        <w:ind w:left="0" w:right="0"/>
        <w:jc w:val="left"/>
      </w:pPr>
      <w:r>
        <w:rPr>
          <w:color w:val="000000"/>
          <w:sz w:val="24"/>
          <w:szCs w:val="24"/>
        </w:rPr>
        <w:t xml:space="preserve">It can be ascertained that the name stock referring to Jewish characters is influenced by the sociocultural and political changes of the long period represented by the corpus, as well as the profile of the magazine, which means supporting the assimilable Jews and attacking the members of the Jewish upper middle-class who had foreign culture.</w:t>
      </w:r>
    </w:p>
    <w:p>
      <w:pPr>
        <w:pBdr/>
        <w:spacing w:before="240" w:after="240" w:line="240" w:lineRule="auto"/>
        <w:ind w:left="0" w:right="0"/>
        <w:jc w:val="left"/>
      </w:pPr>
      <w:r>
        <w:rPr>
          <w:color w:val="000000"/>
          <w:sz w:val="24"/>
          <w:szCs w:val="24"/>
        </w:rPr>
        <w:t xml:space="preserve">The examination has a mainly onomastical point of view, but it is interdisciplinary as well, as it completes the press and social historical references of the period with onomastical aspects, and provides useful details on researching stereotypes.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17008">
    <w:multiLevelType w:val="hybridMultilevel"/>
    <w:lvl w:ilvl="0" w:tplc="62046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17008">
    <w:abstractNumId w:val="57117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4769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