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TÓTH</w:t>
            </w:r>
          </w:p>
          <w:p w:rsidR="00C275A3" w:rsidRDefault="00A96AEC" w:rsidP="00C275A3">
            <w:pPr>
              <w:pStyle w:val="Hallgatokepzes"/>
            </w:pPr>
            <w:r>
              <w:t>Teacher of Hungarian Language and Culture MA</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Beke</w:t>
            </w:r>
          </w:p>
          <w:p w:rsidR="00DB4822" w:rsidRDefault="00DB4822" w:rsidP="00E11062">
            <w:pPr>
              <w:pStyle w:val="Konzulensek"/>
            </w:pPr>
            <w:r w:rsidRPr="00DB4822">
              <w:t>PhD student,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Identification of children's gender and age from their voices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Many surveys have proved that various personal attributes – such as gender, age, size and emotional state – can be identified, based solely on the speaker’s voice (Lass–Davis 1976; Amir et al. 2012). Pitch and formants are considered primary cues on which listeners rely for gender and age identification. The purpose of the present study was to evaluate listeners’ ability to identify gender and age of children and pre-adolescents. This question may be relevant because there are no morphological differences during childhood between the male and female larynges, which may indicate no voice differences as well. In the study 28 children in two age groups (5 and 10 years old) were taken and f0 and formant frequencies were measured. The results indicate that 1. listeners are able to identify children’s gender at an overall rate of 77% and age at an overall rate of 88%.; 2. pitch differentiates gender at 10 years of age; 3. vowel formant frequencies (for some vowels) differentiate gender from 5 years of age; 4. pitch is a major cue for age perception. The results of the present study may help us to discuss the development of gender identity and its representation in speech and voice.</w:t>
      </w:r>
    </w:p>
    <w:p>
      <w:pPr>
        <w:pBdr/>
        <w:spacing w:before="240" w:after="240" w:line="240" w:lineRule="auto"/>
        <w:ind w:left="0" w:right="0"/>
        <w:jc w:val="left"/>
      </w:pPr>
      <w:r>
        <w:rPr>
          <w:color w:val="000000"/>
          <w:sz w:val="24"/>
          <w:szCs w:val="24"/>
        </w:rPr>
        <w:t xml:space="preserve">References</w:t>
      </w:r>
    </w:p>
    <w:p>
      <w:pPr>
        <w:pBdr/>
        <w:spacing w:before="240" w:after="240" w:line="240" w:lineRule="auto"/>
        <w:ind w:left="0" w:right="0"/>
        <w:jc w:val="left"/>
      </w:pPr>
      <w:r>
        <w:rPr>
          <w:color w:val="000000"/>
          <w:sz w:val="24"/>
          <w:szCs w:val="24"/>
        </w:rPr>
        <w:t xml:space="preserve">Lass, Norman J.–Davis, Margaret 1976. An investigation of speaker height and weight identification. Journal of the Acoustical Society of America 60/3. 700–703.</w:t>
      </w:r>
    </w:p>
    <w:p>
      <w:pPr>
        <w:pBdr/>
        <w:spacing w:before="240" w:after="240" w:line="240" w:lineRule="auto"/>
        <w:ind w:left="0" w:right="0"/>
        <w:jc w:val="left"/>
      </w:pPr>
      <w:r>
        <w:rPr>
          <w:color w:val="000000"/>
          <w:sz w:val="24"/>
          <w:szCs w:val="24"/>
        </w:rPr>
        <w:t xml:space="preserve">Amir, Ofer–Engel, Merav–Shabtai, Esther–Amir, Noam 2012. Identification of children’s gender and age by listeners. Journal of Voice 26/3. 313–321.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413455">
    <w:multiLevelType w:val="hybridMultilevel"/>
    <w:lvl w:ilvl="0" w:tplc="98740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413455">
    <w:abstractNumId w:val="734134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79755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