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EDIT TAKÁCS</w:t>
            </w:r>
          </w:p>
          <w:p w:rsidR="00C275A3" w:rsidRDefault="00A96AEC" w:rsidP="00C275A3">
            <w:pPr>
              <w:pStyle w:val="Hallgatokepzes"/>
            </w:pPr>
            <w:r>
              <w:t>MA in Hungarian Language and Literature</w:t>
            </w:r>
            <w:r>
              <w:br/>
            </w:r>
            <w:r w:rsidR="00E77B23">
              <w:t>MA, 11.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Nóra Kugler</w:t>
            </w:r>
          </w:p>
          <w:p w:rsidR="00DB4822" w:rsidRDefault="00DB4822" w:rsidP="00E11062">
            <w:pPr>
              <w:pStyle w:val="Konzulensek"/>
            </w:pPr>
            <w:r w:rsidRPr="00DB4822">
              <w:t>assistant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construal of events with special attention to the object in Hungarian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present paper investigates the argumentative structure and representational possibilities of the selected Hungarian verbs from a functional linguistic perspective. The study assumes that the verb (as the element which is greatly responsible for the propositional content of the clause) determines schematically the elaborational properties and the main interpretation features of finite clauses. The semantic content of a verb reflects the cognitive and the socio-cultural embeddedness of our understanding of the world. In accordance with that the event structure of verbs primarily alludes to the prototypical way how an action is carried out but it also refers to the possible participants of the action and it codes the characteristic relationship between them. The specification of these semantic features and the aspectual representation of the events are iconically reflected in the syntactic structures of the utterance. The present paper shows evidence for the special position of the accusative suffix in the conceptualisational processes. In this approach transitivity is treated as a scalar phenomenon which differentiates between the varying degrees of transitivity within the constructions. Due to this assumption it can account for the relative flexibility of syntactic structures and it can explain the alternation of case marking suffixes, too. The chief aim of the paper is to draw attention to the correlations between the semantic and the syntactic construal of various events and it wishes to give new insights into the workings of language.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8430637">
    <w:multiLevelType w:val="hybridMultilevel"/>
    <w:lvl w:ilvl="0" w:tplc="256038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8430637">
    <w:abstractNumId w:val="9843063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3943278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