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NAGY</w:t>
            </w:r>
          </w:p>
          <w:p w:rsidR="00C275A3" w:rsidRDefault="00A96AEC" w:rsidP="00C275A3">
            <w:pPr>
              <w:pStyle w:val="Hallgatokepzes"/>
            </w:pPr>
            <w:r>
              <w:t>Communication and Media Studies</w:t>
            </w:r>
            <w:r>
              <w:br/>
            </w:r>
            <w:r w:rsidR="00E77B23">
              <w:t>MA, 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Bertalan Pusztai</w:t>
            </w:r>
          </w:p>
          <w:p w:rsidR="00DB4822" w:rsidRDefault="00DB4822" w:rsidP="00E11062">
            <w:pPr>
              <w:pStyle w:val="Konzulensek"/>
            </w:pPr>
            <w:r w:rsidRPr="00DB4822">
              <w:t>associate professor, SZTE BTK University of Szeged, Faculty of Humanities, Department of Communication and Media Studies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Constructions of a Conflict. Case Study on Gabcikovo-Nagymaros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essay is a case study based on a field work regarding the conflict around the Bős (Gabcikovo)-Nagymaros Danube River Barrage project. The study ignores the usual approach to the topic (legal, environmental, political). Instead it tries to introduce the subject into the discourse Gabcikovo as a locality. Through analyses of all the notes, interviews, mental maps and photos (either made personally or collected from informants) it appears that the representation of reality might be explained with the help of contemporary theories of cultural sciences. Some of these theories are: the discontinuities of modernity, spatial representation in late modern society, the separation of space from place, its global and local connection, the metamorphosis of identity, the metamorphosis of countryside.</w:t>
      </w:r>
      <w:r>
        <w:rPr>
          <w:color w:val="000000"/>
          <w:sz w:val="24"/>
          <w:szCs w:val="24"/>
        </w:rPr>
        <w:br/>
        <w:t xml:space="preserve">The repetitive motives in the recorded interviews provide the guidelines of the discourse of locality. The result shows that while Hungary and Slovakia represents two easily described (and totally opposite) construction of reality regarding the barrage project, the discourse of locality (Gabcikovo) is anything but unified and easily defined: as many people, just as many different Danubes and hydropower stations. This type of examination of this conflict reveals those micro stories and social spaces that seemed so far negligible for the papers written about this topic either in Hungary or Slovakia. It is quite important for the locals though and their relation to the power station defines the construction of reality.</w:t>
      </w:r>
      <w:r>
        <w:rPr>
          <w:color w:val="000000"/>
          <w:sz w:val="24"/>
          <w:szCs w:val="24"/>
        </w:rPr>
        <w:br/>
        <w:t xml:space="preserve">Although the main topic of my essay is Gabcikovo, it not just about this location. The processes observed here can happen (and do happen) in other places – with or without the hydropower station. The case only played a catalyst in the local story of modernization.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205130">
    <w:multiLevelType w:val="hybridMultilevel"/>
    <w:lvl w:ilvl="0" w:tplc="557653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205130">
    <w:abstractNumId w:val="812051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78952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