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FEKETE </w:t>
            </w:r>
          </w:p>
          <w:p w:rsidR="00C275A3" w:rsidRDefault="00A96AEC" w:rsidP="00C275A3">
            <w:pPr>
              <w:pStyle w:val="Hallgatokepzes"/>
            </w:pPr>
            <w:r>
              <w:t>ethnography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Mohay</w:t>
            </w:r>
          </w:p>
          <w:p w:rsidR="00DB4822" w:rsidRDefault="00DB4822" w:rsidP="00E11062">
            <w:pPr>
              <w:pStyle w:val="Konzulensek"/>
            </w:pPr>
            <w:r w:rsidRPr="00DB4822">
              <w:t>habl. doc.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life story in the second part of 20th century in Vitnyéd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Teaching life story in the second part of 20th century in Vitnyéd</w:t>
      </w:r>
    </w:p>
    <w:p>
      <w:pPr>
        <w:pBdr/>
        <w:spacing w:before="240" w:after="240" w:line="240" w:lineRule="auto"/>
        <w:ind w:left="0" w:right="0"/>
        <w:jc w:val="left"/>
      </w:pPr>
      <w:r>
        <w:rPr>
          <w:color w:val="000000"/>
          <w:sz w:val="24"/>
          <w:szCs w:val="24"/>
        </w:rPr>
        <w:br/>
        <w:t xml:space="preserve">This dissertation tries to present Lenke Énekes’s life story and her social work in Vitnyéd. The dissertation reflects Diderot’s thesis about social moralities and private life’s deficiences. The author tries to present demographic changes which are in close connection with the teaching activity. Lenke Énekes was rised high in public esteem because she organized tours, orchestras and controlled the local folk dance group. The author uses the „oral history” and the written details too. In the dissertation we could also find photoes about Lenke Énekes’s childhood. Unfortunately there are just only some details from Lenke Énekes because big part of the details were destroyed. The author tries to introduce Lenke Énekes personality in family and social context. In Vitnyéd everybody knows about Lenke Énekes and the local people try to keep her memory green. Everybody refers to her as a friendy, discreet and charitable woman.</w:t>
      </w:r>
    </w:p>
    <w:p>
      <w:pPr>
        <w:pBdr/>
        <w:spacing w:before="240" w:after="240" w:line="240" w:lineRule="auto"/>
        <w:ind w:left="0" w:right="0"/>
        <w:jc w:val="left"/>
      </w:pPr>
      <w:r>
        <w:rPr>
          <w:color w:val="000000"/>
          <w:sz w:val="24"/>
          <w:szCs w:val="24"/>
        </w:rPr>
        <w:br/>
        <w:t xml:space="preserve">This dissertation’s aim was to show a life story and refer to the other teachers from the regio. The author shows and interpret many kind of source-strings and tries to introduce Lenke Énekes’s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75181">
    <w:multiLevelType w:val="hybridMultilevel"/>
    <w:lvl w:ilvl="0" w:tplc="2233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75181">
    <w:abstractNumId w:val="46375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262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