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ILLÉS ANNA</w:t>
            </w:r>
          </w:p>
          <w:p w:rsidR="00C275A3" w:rsidRDefault="00A96AEC" w:rsidP="00C275A3">
            <w:pPr>
              <w:pStyle w:val="Hallgatokepzes"/>
            </w:pPr>
            <w:r>
              <w:t>néprajz</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Bárth Dániel</w:t>
            </w:r>
          </w:p>
          <w:p w:rsidR="00DB4822" w:rsidRDefault="00DB4822" w:rsidP="00E11062">
            <w:pPr>
              <w:pStyle w:val="Konzulensek"/>
            </w:pPr>
            <w:r w:rsidRPr="00DB4822">
              <w:t>habil. doc., ELTE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neosámánizmus mitológiai (re)konstrukciós modelljei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újpogányság irányzataihoz tartozó magyar neosámánizmus két alakját – Fehérholló Öskü és Sólyomfi Nagy Zoltán – vizsgáltam. Kiinduló hipotézisem, hogy hitviláguk nem véletlenszerű elemekből áll, hanem modellszerű rendszert alkot. Főként arra kerestem a választ, hogy a két személy világnézete miként konstruálódik meg, milyen rétegek alkotják, s hogyan rajzolható meg a neosámánizmus mitológiai (re)konstrukciós modellje.</w:t>
      </w:r>
      <w:r>
        <w:rPr>
          <w:color w:val="000000"/>
          <w:sz w:val="24"/>
          <w:szCs w:val="24"/>
        </w:rPr>
        <w:br/>
        <w:t xml:space="preserve">Dolgozatom első részében szükségesnek tartottam az alapvető fogalmak (Új Vallási Mozgalmak, újpogányság, neosámánizmus) tisztázását a nemzetközi és a magyar szakirodalom alapján. A második fejezetben saját kutatásomat tárgyaltam, melynek eredményei a résztvevő megfigyelés, interjúk és internetes oldalak elemzéséből származnak.</w:t>
      </w:r>
      <w:r>
        <w:rPr>
          <w:color w:val="000000"/>
          <w:sz w:val="24"/>
          <w:szCs w:val="24"/>
        </w:rPr>
        <w:br/>
        <w:t xml:space="preserve">Vizsgálataim szerint Fehérholló és Sólyomfi hitvilága három rétegre bontható: I. archaikus; II. keleties; és III. általános újpogány réteg. A rétegek nem válnak el egymástól élesen, folyamatos kölcsönhatás van közöttük. Ezeket világnézetük elemzése alapján különítettem el, a legjellemzőbb elemeket hangsúlyozva. Mind Fehérholló, mind Sólyomfi hitvilágában jól megfigyelhető az újpogányságra alapvetően jellemző szinkretizmus, a brikolázs jelleg.</w:t>
      </w:r>
      <w:r>
        <w:rPr>
          <w:color w:val="000000"/>
          <w:sz w:val="24"/>
          <w:szCs w:val="24"/>
        </w:rPr>
        <w:br/>
        <w:t xml:space="preserve">A közelmúltban és napjainkban is problémáik megoldására egyre többen keresik a választ kultúránk gyökereinél. Ehhez elengedhetetlen a rekonstrukció, megalkotva ezzel az első réteget. Azonban a hagyományok, hitvilág rekonstrukciója teljességében nem lehetséges, ezért egyéni konstrukciók is szükséges, amelyek kitöltik a fehér foltokat, összekötik az önmagukban némileg kontextus nélküli elemeket. Emellett a felmerülő modern igények kielégítésre további nézetek bevonása szükséges, amire legalkalmasabbnak a keleti tanításokból átvett gondolatok bizonyultak. A második réteg azokra a kérdésekre ad választ, melyekre az első réteg nem tud, egymást kiegészítő rendszert alkotva. Az általános újpogány réteg mintegy keretet ad ennek, mindkét réteghez igazodik, szervesen be tud épülni ezek közé tág keretei miatt.</w:t>
      </w:r>
      <w:r>
        <w:rPr>
          <w:color w:val="000000"/>
          <w:sz w:val="24"/>
          <w:szCs w:val="24"/>
        </w:rPr>
        <w:br/>
        <w:t xml:space="preserve">Habár az általam felrajzolt modell egy kutatói konstrukció, segítheti a tisztánlátást a szerteágazó problémakörben. A vázolt rétegek kritériumai lehetnek annak, mely irányzatokat nevezhetjük újpogánynak, s a modell keretet adhat összehasonlító vizsgálatoknak. A rétegek segíthetnek elhatárolni az újpogányságot más, hasonló jelenségektől is, de akár egy új definíció megalkotására is alapot adhat ez a felosztás.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6800">
    <w:multiLevelType w:val="hybridMultilevel"/>
    <w:lvl w:ilvl="0" w:tplc="6983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6800">
    <w:abstractNumId w:val="58016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09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