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TOMPOS</w:t>
            </w:r>
          </w:p>
          <w:p w:rsidR="00C275A3" w:rsidRDefault="00A96AEC" w:rsidP="00C275A3">
            <w:pPr>
              <w:pStyle w:val="Hallgatokepzes"/>
            </w:pPr>
            <w:r>
              <w:t>ethnography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Bárth</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Ethnography and the Party Line in the 1950s. An Analysis of the Polemics on Kalmany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deal with the communist party line that affected Hungarian ethnography in 1950s and its documents. This aspect of our discipline is rather neglected; however, the effect of different systems of ideology is one of the most important forming elements in the history of a discipline.</w:t>
      </w:r>
    </w:p>
    <w:p>
      <w:pPr>
        <w:widowControl w:val="on"/>
        <w:pBdr/>
        <w:spacing w:before="240" w:after="240" w:line="240" w:lineRule="auto"/>
        <w:ind w:left="0" w:right="0"/>
        <w:jc w:val="left"/>
      </w:pPr>
      <w:r>
        <w:rPr>
          <w:color w:val="000000"/>
          <w:sz w:val="24"/>
          <w:szCs w:val="24"/>
        </w:rPr>
        <w:t xml:space="preserve">The examination is based on the volume of Kalmany’s collection with subsequent editing and the polemics of reviews. The date of writing of the analysed texts (1952-53) is an extremely important piece of information, for they date back to the inicial period of extension of Communism in Hungary, when strengthening of power was the main target and, every one even scientists had to consider and serve that. My target was to show via source materials how strongly power and ethnography were related in 1950s, and, consequently how big effects the party line had on texts.</w:t>
      </w:r>
    </w:p>
    <w:p>
      <w:pPr>
        <w:widowControl w:val="on"/>
        <w:pBdr/>
        <w:spacing w:before="240" w:after="240" w:line="240" w:lineRule="auto"/>
        <w:ind w:left="0" w:right="0"/>
        <w:jc w:val="left"/>
      </w:pPr>
      <w:r>
        <w:rPr>
          <w:color w:val="000000"/>
          <w:sz w:val="24"/>
          <w:szCs w:val="24"/>
        </w:rPr>
        <w:t xml:space="preserve">In my research I deal with the matters of form and content of the volume and the details of the dispute that followed Istvan Bano’s review. Of course, I cannot give an entire analyze on the base of documents but they prove my findings as these sources are not products of subsequent interpretation but they were written in a certain historical situation , under certain pressure of power and ideology; this way they are true documents of a regime. Having analysed the texts, I tried to highlight how the party line is represented in a discipline and how it is expressed in the language of it. Interpretation of the texts full of communist rhetoric is a very exciting and hard task at the same time as one has to understand different layers of meaning and discover figurative sence. It can be assumed that in case of the polemics on Kalmany’s book Marxian rhetoric hid not only its scientific feature but also covered professional and personal differences and conflicts. But existence of these phenomena cannot be neglected because besides ideology they also affect the texts forming the corpus of our discipline.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80149">
    <w:multiLevelType w:val="hybridMultilevel"/>
    <w:lvl w:ilvl="0" w:tplc="32110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80149">
    <w:abstractNumId w:val="44080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024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