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JÚLIA SZIVÁK</w:t>
            </w:r>
          </w:p>
          <w:p w:rsidR="00C275A3" w:rsidRDefault="00A96AEC" w:rsidP="00C275A3">
            <w:pPr>
              <w:pStyle w:val="Hallgatokepzes"/>
            </w:pPr>
            <w:r>
              <w:t>Indology</w:t>
            </w:r>
            <w:r>
              <w:br/>
            </w:r>
            <w:r w:rsidR="00E77B23">
              <w:t>BA, 3. semester</w:t>
            </w:r>
          </w:p>
          <w:p w:rsidR="00C265CE" w:rsidRPr="009E5FF1" w:rsidRDefault="00E77B23" w:rsidP="00C275A3">
            <w:pPr>
              <w:pStyle w:val="Hallgatokepzes"/>
              <w:rPr>
                <w:b/>
                <w:caps/>
              </w:rPr>
            </w:pPr>
            <w:r>
              <w:t>Eötvös Loránd University</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Mária Négyesi</w:t>
            </w:r>
          </w:p>
          <w:p w:rsidR="00DB4822" w:rsidRDefault="00DB4822" w:rsidP="00E11062">
            <w:pPr>
              <w:pStyle w:val="Konzulensek"/>
            </w:pPr>
            <w:r w:rsidRPr="00DB4822">
              <w:t>head of department, associate professor, ELTE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Language Policy in India. Language Planning in the 20th Century</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My paper is about language politics and policies in 20th century India. The focus is on these aspects but historical, political and social background information is also provided. Main points are language policy plans of the pre-independence era and the actual language policy implemented after India had gained independence. Two subjects of special emphasis are the debate on national language serving as connecting medium of interstate affairs, the other being the formation of language states forming the subnational basis of administration.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523924">
    <w:multiLevelType w:val="hybridMultilevel"/>
    <w:lvl w:ilvl="0" w:tplc="4091268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523924">
    <w:abstractNumId w:val="6652392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10874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