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SALAMON GÁSPÁR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Gosztonyi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Gábor György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Tudományos Akadémia, Bölcsészettudományi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Schulek-tanszék (1903-1912)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Schulek tanszék (1903–12)</w:t>
      </w:r>
      <w:r>
        <w:rPr>
          <w:color w:val="000000"/>
          <w:sz w:val="24"/>
          <w:szCs w:val="24"/>
        </w:rPr>
        <w:br/>
        <w:t xml:space="preserve">Schulek Frigyes építész, a műemlékvédelem meghatározó alakja, 1903-ban pályatársa, Steindl Imre halálát követően a m. kir. József Műegyetemre, a Középkori Építési Tanszék élére került. Schulek Frigyes műveltségét, művészetét tekintve a XIX. század tudományosságának és gondolkodásának örököse. A XX. század hajnalán a Műegyetem falai között folyó építészképzést számos kortárs mellett az utókor is a historizmus szellemiségét megcsontosító, a valós társadalmi igényekkel ellentmondó tevékenységnek tartotta, azonban a mélyfúrás merőben eltérő képet mutat. Schulek Frigyes tanszékén a szigorú, historizáló oktatási koncepció kiteljesítésével párhuzamosan egy stiláris kérdésekben toleráns milieu jött létre. Így történhetett, hogy a historizmus fellegvárában alakult ki a XX. század első felének egyik legmeghatározóbb haladó szellemű csoportosulása, a Fiatalok. Dolgozatom célja a tanszéki oktatási módszertan és struktúra deskriptív bemutatása mellett az elméleti képzés esetében a tudománytörténeti háttér, a gyakorlati metodikával kapcsolatban pedig a műemlékvédelemhez kötődő szálak vizsgálata. Az ízlésformáláshoz kapcsolódó fejtegetéseimmel pedig néhány óvatos szempontot nyújtok a – főként a Fiatalok kapcsán – felmerülő kérdésre: volt-e, illetve miben állt Schulek Frigyes hatása a keze alatt felnövekvő építésznemzedékekre?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61901">
    <w:multiLevelType w:val="hybridMultilevel"/>
    <w:lvl w:ilvl="0" w:tplc="79695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61901">
    <w:abstractNumId w:val="387619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903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