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TÓTH</w:t>
            </w:r>
          </w:p>
          <w:p w:rsidR="00C275A3" w:rsidRDefault="00A96AEC" w:rsidP="00C275A3">
            <w:pPr>
              <w:pStyle w:val="Hallgatokepzes"/>
            </w:pPr>
            <w:r>
              <w:t>Archeology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Tivadar Vida</w:t>
            </w:r>
          </w:p>
          <w:p w:rsidR="00DB4822" w:rsidRDefault="00DB4822" w:rsidP="00E11062">
            <w:pPr>
              <w:pStyle w:val="Konzulensek"/>
            </w:pPr>
            <w:r w:rsidRPr="00DB4822">
              <w:t>docent, ELTE BTK</w:t>
            </w:r>
          </w:p>
        </w:tc>
      </w:tr>
      <w:tr w:rsidR="00DB4822" w:rsidTr="00DB4822">
        <w:tc>
          <w:tcPr>
            <w:tcW w:w="9854" w:type="dxa"/>
          </w:tcPr>
          <w:p w:rsidR="00DB4822" w:rsidRPr="00DB4822" w:rsidRDefault="00DB4822" w:rsidP="004D7940">
            <w:pPr>
              <w:pStyle w:val="Konzulensek"/>
            </w:pPr>
            <w:r w:rsidRPr="00DB4822">
              <w:t>Dr. Zsófia Rácz</w:t>
            </w:r>
          </w:p>
          <w:p w:rsidR="00DB4822" w:rsidRDefault="00DB4822" w:rsidP="00E11062">
            <w:pPr>
              <w:pStyle w:val="Konzulensek"/>
            </w:pPr>
            <w:r w:rsidRPr="00DB4822">
              <w:t>adjunct, ELTE BTK</w:t>
            </w:r>
          </w:p>
        </w:tc>
      </w:tr>
      <w:tr w:rsidR="00DB4822" w:rsidTr="00DB4822">
        <w:tc>
          <w:tcPr>
            <w:tcW w:w="9854" w:type="dxa"/>
          </w:tcPr>
          <w:p w:rsidR="00DB4822" w:rsidRPr="00DB4822" w:rsidRDefault="00DB4822" w:rsidP="004D7940">
            <w:pPr>
              <w:pStyle w:val="Konzulensek"/>
            </w:pPr>
            <w:r w:rsidRPr="00DB4822">
              <w:t>Dr. Ágnes Birtalan</w:t>
            </w:r>
          </w:p>
          <w:p w:rsidR="00DB4822" w:rsidRDefault="00DB4822" w:rsidP="00E11062">
            <w:pPr>
              <w:pStyle w:val="Konzulensek"/>
            </w:pPr>
            <w:r w:rsidRPr="00DB4822">
              <w:t>docent,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Beliefs of archaeological resources in the Avar Period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In the inheritance of the archaeological cultures the appearance of the belief and its interpretation are not clear, but often problematic. The issue of interpretation is hardened by the factor that we do not have the written sources from the specific ethnic group belief. However, if there are part of texts, they are often incomplete, with only very little information.</w:t>
      </w:r>
    </w:p>
    <w:p>
      <w:pPr>
        <w:pBdr/>
        <w:spacing w:before="240" w:after="240" w:line="240" w:lineRule="auto"/>
        <w:ind w:left="0" w:right="0"/>
        <w:jc w:val="left"/>
      </w:pPr>
      <w:r>
        <w:rPr>
          <w:color w:val="000000"/>
          <w:sz w:val="24"/>
          <w:szCs w:val="24"/>
        </w:rPr>
        <w:t xml:space="preserve">    The topic deserves attention from several point of view. We could get to information from the sources relating that the belief of the Avars way often, their belief had the shamanism. The Avars are called pagans and barbars in the texts return by the Christians. The burial customs can be said pagan, since their buried with belongings (weapons, jewelleries, tools, foods and beverages, etc.).</w:t>
      </w:r>
    </w:p>
    <w:p>
      <w:pPr>
        <w:pBdr/>
        <w:spacing w:before="240" w:after="240" w:line="240" w:lineRule="auto"/>
        <w:ind w:left="0" w:right="0"/>
        <w:jc w:val="left"/>
      </w:pPr>
      <w:r>
        <w:rPr>
          <w:color w:val="000000"/>
          <w:sz w:val="24"/>
          <w:szCs w:val="24"/>
        </w:rPr>
        <w:t xml:space="preserve">    A part from return notes the Shaman activities and their traces can partly be known – through covering of the Inner-Asian role and the possible Avar Shaman’s graves –, and the„traces” such as trephinations, trusses, whistles. Certain type of equipment (amulets, rattlings, beads) refer to the belief and so do the animal representation on the articles, as well as a burial customs (navigation to the grave, multiple burials, sacrafice to the death, eggs and sickles).</w:t>
      </w:r>
    </w:p>
    <w:p>
      <w:pPr>
        <w:pBdr/>
        <w:spacing w:before="240" w:after="240" w:line="240" w:lineRule="auto"/>
        <w:ind w:left="0" w:right="0"/>
        <w:jc w:val="left"/>
      </w:pPr>
      <w:r>
        <w:rPr>
          <w:color w:val="000000"/>
          <w:sz w:val="24"/>
          <w:szCs w:val="24"/>
        </w:rPr>
        <w:t xml:space="preserve">    The written sources, the archaeological artifacts and burial customs say that the Avar's shamanism was present, in addition, it is there are unlikely to be included in world religion. Sometimes Christian articles can be found in the inheritance of the dead, but is only sincretism and we can not think their user were a Christian themselves. From the view may of the essay during the Avar Period the Carpathian Basin does not show coherent picture either chronologically and geographically. Most customs and type’s of equipment are present from the first half the Avar Age the end of 8. century or the one-third of the 9. one. However, the differences can be better observed as for area, primarily at regional level. In the Trans-Tissa region and between the Danube and the Tissa leaved longer Eastern and steppe traditions. The diversity of such belief in the regions of Transdanubia and Pannonia may be stronger, since the Antique and Germanic elements continuity over a long period could detected during a long period we can think of Keszthely-culture, or some group of amulets.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124364">
    <w:multiLevelType w:val="hybridMultilevel"/>
    <w:lvl w:ilvl="0" w:tplc="514964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124364">
    <w:abstractNumId w:val="501243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95695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