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HAVASY</w:t>
            </w:r>
          </w:p>
          <w:p w:rsidR="00C275A3" w:rsidRDefault="00A96AEC" w:rsidP="00C275A3">
            <w:pPr>
              <w:pStyle w:val="Hallgatokepzes"/>
            </w:pPr>
            <w:r>
              <w:t>Archaeology</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Gábor Tomka</w:t>
            </w:r>
          </w:p>
          <w:p w:rsidR="00DB4822" w:rsidRDefault="00DB4822" w:rsidP="00E11062">
            <w:pPr>
              <w:pStyle w:val="Konzulensek"/>
            </w:pPr>
            <w:r w:rsidRPr="00DB4822">
              <w:t>head museolologist, archaeologist HNM,  Hungarian National Museum</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Blue Haban Vessels from the Buda Castle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At the historic place of Buda Castle, there have been archeological excavations since the 1940s. These excavations produced an impressive amount of findings, most of which are preserved in the Budapest History Museum. This study is to explore and process a very special collection of such findings: seventy-one fragmented pieces of blue coloured Haban dishes from the 17th century, found at four excavations.</w:t>
      </w:r>
    </w:p>
    <w:p>
      <w:pPr>
        <w:widowControl w:val="on"/>
        <w:pBdr/>
        <w:spacing w:before="240" w:after="240" w:line="240" w:lineRule="auto"/>
        <w:ind w:left="0" w:right="0"/>
        <w:jc w:val="left"/>
      </w:pPr>
      <w:r>
        <w:rPr>
          <w:color w:val="000000"/>
          <w:sz w:val="24"/>
          <w:szCs w:val="24"/>
        </w:rPr>
        <w:t xml:space="preserve">Thanks to the sources, we have a clear picture of the people who gave us these marvellous pieces of art. It is well known that in the 16th century, their ancestors had to flee from their homeland in Switzerland. These Hutterites eventually settled – for a time – in Hungary. They were renown artisans, and their products became expensive and was held in high esteem by the local population.</w:t>
      </w:r>
    </w:p>
    <w:p>
      <w:pPr>
        <w:widowControl w:val="on"/>
        <w:pBdr/>
        <w:spacing w:before="240" w:after="240" w:line="240" w:lineRule="auto"/>
        <w:ind w:left="0" w:right="0"/>
        <w:jc w:val="left"/>
      </w:pPr>
      <w:r>
        <w:rPr>
          <w:color w:val="000000"/>
          <w:sz w:val="24"/>
          <w:szCs w:val="24"/>
        </w:rPr>
        <w:t xml:space="preserve">The blue color Haban dishes raise many questions still not answered perfectly. Their apperance, technology and their place of origin are all controversial. The author tries to contribute the earlier researches through the introduction of the putative types one by one, and by the interpretation of the decorations, colorization of the particular pieces. This process bring us closer to the understanding of the original technology, because all findings clearly mirror the actual phenomenons of their creation.</w:t>
      </w:r>
    </w:p>
    <w:p>
      <w:pPr>
        <w:widowControl w:val="on"/>
        <w:pBdr/>
        <w:spacing w:before="240" w:after="240" w:line="240" w:lineRule="auto"/>
        <w:ind w:left="0" w:right="0"/>
        <w:jc w:val="left"/>
      </w:pPr>
      <w:r>
        <w:rPr>
          <w:color w:val="000000"/>
          <w:sz w:val="24"/>
          <w:szCs w:val="24"/>
        </w:rPr>
        <w:t xml:space="preserve">After the examination of the decorations we encounter a separate type of Haban dishes: the „star pattern” dishes. Unlike the most of Haban tableware, this type seems to be less complicately ornamented. This rises the question: were these pieces produced for the wholesale market, and for the lower echelons of society? Were they „mass produced”? The question of Haban and Turkish mercantile connections deserves an own chapter. There are no information about Haban population living in Ottoman Hungary from this period, but their products have been found in some of its deposits. There are sources, however, suggesting that this region was a market for such arts and crafts – although it is not yet clear which social our ethnic group purchased the Haban products.</w:t>
      </w:r>
    </w:p>
    <w:p>
      <w:pPr>
        <w:widowControl w:val="on"/>
        <w:pBdr/>
        <w:spacing w:before="240" w:after="240" w:line="240" w:lineRule="auto"/>
        <w:ind w:left="0" w:right="0"/>
        <w:jc w:val="left"/>
      </w:pPr>
      <w:r>
        <w:rPr>
          <w:color w:val="000000"/>
          <w:sz w:val="24"/>
          <w:szCs w:val="24"/>
        </w:rPr>
        <w:t xml:space="preserve">For a conclusion, we can state that the examination of the fragments of such ceramics is at least as important as those of the more intact ones. These deposits give a wider variety of pieces, and through the analysis of such collections we can definite more properly the dating of each type, the technologies used to make them, and they may even reveal more information about the commercial connections of their creators.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841561">
    <w:multiLevelType w:val="hybridMultilevel"/>
    <w:lvl w:ilvl="0" w:tplc="523515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841561">
    <w:abstractNumId w:val="708415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72194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