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SZEMETHY</w:t>
            </w:r>
          </w:p>
          <w:p w:rsidR="00C275A3" w:rsidRDefault="00A96AEC" w:rsidP="00C275A3">
            <w:pPr>
              <w:pStyle w:val="Hallgatokepzes"/>
            </w:pPr>
            <w:r>
              <w:t>History-Geography teacher</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 Szijártó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status of the new aristocrats between 1720 and 1759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social status of the new aristocrats between 1720 and 1759</w:t>
      </w:r>
    </w:p>
    <w:p>
      <w:pPr>
        <w:widowControl w:val="on"/>
        <w:pBdr/>
        <w:spacing w:before="240" w:after="240" w:line="240" w:lineRule="auto"/>
        <w:ind w:left="0" w:right="0"/>
        <w:jc w:val="left"/>
      </w:pPr>
      <w:r>
        <w:rPr>
          <w:color w:val="000000"/>
          <w:sz w:val="24"/>
          <w:szCs w:val="24"/>
        </w:rPr>
        <w:t xml:space="preserve">In my study, I have investigated the social status of the gentry elevated into the aristocracy between 1720 and 1759, if they could integrate socially into the closely knit group of the aristocrats. The 40 year-long period under investigation was divided into two halves, making two groups of 34 and 17 new aristocrats. My initial hypothesis was that members of the second group had better chances to become a part of the traditional aristocracy than the members of the larger first group – what was proved by the investigation (with certain reservations).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82666">
    <w:multiLevelType w:val="hybridMultilevel"/>
    <w:lvl w:ilvl="0" w:tplc="6964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82666">
    <w:abstractNumId w:val="91782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750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