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KALMÁR</w:t>
            </w:r>
          </w:p>
          <w:p w:rsidR="00C275A3" w:rsidRDefault="00A96AEC" w:rsidP="00C275A3">
            <w:pPr>
              <w:pStyle w:val="Hallgatokepzes"/>
            </w:pPr>
            <w:r>
              <w:t>History</w:t>
            </w:r>
            <w:r>
              <w:br/>
            </w:r>
            <w:r w:rsidR="00E77B23">
              <w:t>MA, 11.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Lilla Krász</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NOBLE LIBRARIES, PEDAGOGICAL LITERATURE IN HUNGARY (1760-1815). (THE CULTURAL HISTORICAL EXAMINATION OF THE HUNGARIAN MANUALS OF ETIQUETTE, GUIDEBOOKS OF UPBRINGING)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NOBLE LIBRARIES, PEDAGOGICAL LITERATURE IN HUNGARY (1760-1815).</w:t>
      </w:r>
      <w:r>
        <w:rPr>
          <w:color w:val="000000"/>
          <w:sz w:val="24"/>
          <w:szCs w:val="24"/>
        </w:rPr>
        <w:br/>
        <w:t xml:space="preserve">(THE CULTURAL HISTORICAL EXAMINATION OF THE HUNGARIAN MANUALS OF ETIQUETTE, GUIDEBOOKS OF UPBRINGING)</w:t>
      </w:r>
      <w:r>
        <w:rPr>
          <w:color w:val="000000"/>
          <w:sz w:val="24"/>
          <w:szCs w:val="24"/>
        </w:rPr>
        <w:br/>
        <w:t xml:space="preserve">In my dissertation I examine the receptivity of the manuals of etiquette, guidebooks of upbringing of children in Hungary from a special point of view by studiing the hand-written and printed catalogues of eight representative aristocrat and noble libraries, and I established which were the most popular readings between 1760 and 1815 in this topic. During my research I tried to link the aspects of the history of book and the history of libraries. From the point of view of my topic I thought important to examine both men’s and women’s book collections. From the eight examined collections the libraries of Gedeon Ráday, Sámuel Teleki, Ferenc Széchényi, György Festetics were established as the result of conscious library building strategy, while the collections of Kata Bethlen, Zsuzsanna Bethlen, Krisztina Újfalvy and Erzsébet Zichy represent the customs of booklover noble women of the era.</w:t>
      </w:r>
      <w:r>
        <w:rPr>
          <w:color w:val="000000"/>
          <w:sz w:val="24"/>
          <w:szCs w:val="24"/>
        </w:rPr>
        <w:br/>
        <w:t xml:space="preserve">Volumes of special literature are available mainly in German and French about the pedagogical discussions of the late 1700s, literature, educational establishments and famous thinkers of the topic. In Hugarian relation these topics are mentioned in the special literature of women’s history but in these works from the points of view of book-and receptivity history didn’t get importance. Until now there were no attempts to examine the printed pedagogical literature in connection with the developments of private libaries.</w:t>
      </w:r>
      <w:r>
        <w:rPr>
          <w:color w:val="000000"/>
          <w:sz w:val="24"/>
          <w:szCs w:val="24"/>
        </w:rPr>
        <w:br/>
        <w:t xml:space="preserve">I examine the determinant aspects of the printed Hungarian pedagogical books in terms of the history of recepcivity: those stuctural, content and formal elements, which help us to reconstruct the goals of the authors and the translators and the expectations and claims of the addressed readers.</w:t>
      </w:r>
    </w:p>
    <w:p>
      <w:pPr>
        <w:pBdr/>
        <w:spacing w:before="240" w:after="240" w:line="240" w:lineRule="auto"/>
        <w:ind w:left="0" w:right="0"/>
        <w:jc w:val="left"/>
      </w:pPr>
      <w:r>
        <w:rPr>
          <w:color w:val="000000"/>
          <w:sz w:val="24"/>
          <w:szCs w:val="24"/>
        </w:rPr>
        <w:t xml:space="preserve">ANNA KALMÁR</w:t>
      </w:r>
      <w:r>
        <w:rPr>
          <w:color w:val="000000"/>
          <w:sz w:val="24"/>
          <w:szCs w:val="24"/>
        </w:rPr>
        <w:br/>
        <w:t xml:space="preserve">UNIVERSITY EÖTVÖS LORÁND</w:t>
      </w:r>
      <w:r>
        <w:rPr>
          <w:color w:val="000000"/>
          <w:sz w:val="24"/>
          <w:szCs w:val="24"/>
        </w:rPr>
        <w:br/>
        <w:t xml:space="preserve">FACULTY OF PHILISOPHY</w:t>
      </w:r>
      <w:r>
        <w:rPr>
          <w:color w:val="000000"/>
          <w:sz w:val="24"/>
          <w:szCs w:val="24"/>
        </w:rPr>
        <w:br/>
        <w:t xml:space="preserve">MASTER OF HISTORY, EARLY MODERN AGE SPECIALISATION, 2ND GRADE</w:t>
      </w:r>
      <w:r>
        <w:rPr>
          <w:color w:val="000000"/>
          <w:sz w:val="24"/>
          <w:szCs w:val="24"/>
        </w:rPr>
        <w:br/>
        <w:t xml:space="preserve">CONSULTANT TEACHER: LILLA KRÁSZ PHD, ASSISTANT PROFESSOR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32562">
    <w:multiLevelType w:val="hybridMultilevel"/>
    <w:lvl w:ilvl="0" w:tplc="70864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32562">
    <w:abstractNumId w:val="866325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762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