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TERNOVÁCZ BÁLINT</w:t>
            </w:r>
          </w:p>
          <w:p w:rsidR="00C275A3" w:rsidRDefault="00A96AEC" w:rsidP="00C275A3">
            <w:pPr>
              <w:pStyle w:val="Hallgatokepzes"/>
            </w:pPr>
            <w:r>
              <w:t>MA Levéltár, Közép- és kora újkor szakirány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Körmendi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bogumil eretnekség a Magyar Királyság déli területein a 11.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bogumil eretnekség XI. századi magyarországi jelenléte – a herezis észak-balkáni történetének kutatásához viszonyítva későn – először a XX. század közepén jelent meg a magyar kutatásban. A téma kutatói véleményüket elsősorban Szent Gellért Deliberatiójára és az Intelmekre alapozzák, érveiket azonban a szakirodalom egységesen mindmáig nem fogadta el. Dolgozatomban összefoglalom a tárgyalt probléma kutatóinak nézeteit, azt felülvizsgálva kibővítem saját kutatásommal és az arra alapozott eredményeimmel.</w:t>
      </w:r>
      <w:r>
        <w:rPr>
          <w:color w:val="000000"/>
          <w:sz w:val="24"/>
          <w:szCs w:val="24"/>
        </w:rPr>
        <w:br/>
        <w:t xml:space="preserve">A bogumil eretnekség antik manicheus alapokon a X. század közepén született meg a Bolgár Cárságban. E magterületről a tanok futótűzként terjedtek az észak-balkáni területeken. Bár ezzel a térhódítással a herezis alapvető hittételei megmaradtak, régiónként tapasztalhatóak eltérések: például amíg a bolgár bogumilok elvetnek mindennemű egyházi és világi hatalmat – a Sátán művének tartva azt – Boszniában az eretnekek és a hatalom szoros együttműködése tapasztalható. Leszögezhető, hogy a bogumilizmus csak ott tud gyökeret verni, ahol az egyházi jelenlét még nem szilárdult meg, valamint a kereszténység még megmaradt a pogány hagyományoktól befolyásolt szinten.</w:t>
      </w:r>
      <w:r>
        <w:rPr>
          <w:color w:val="000000"/>
          <w:sz w:val="24"/>
          <w:szCs w:val="24"/>
        </w:rPr>
        <w:br/>
        <w:t xml:space="preserve">Az Intelmekben, Szent Gellért Deliberatiójában és homilíáinak fennmaradt bevezetőjében a szerző egyértelműen eretnekekről és nem pogányokról ír. Ezen eretnekség hittételeinek többsége a rendelkezésünkre álló csekély forrásanyag alapján megegyezik az Észak-Balkánon dúló bogumil eretnekség tanaival, vagy levezethető azokból. A bogumil eretnekség a legyőzött Ajtony területein megalapított csanádi egyházmegye területén volt jelen, a Maroson túli térhódításáról nincs tudomásunk. Az eretnekek etnikai azonosítása a fennmaradt források alapján nem lehetséges.</w:t>
      </w:r>
      <w:r>
        <w:rPr>
          <w:color w:val="000000"/>
          <w:sz w:val="24"/>
          <w:szCs w:val="24"/>
        </w:rPr>
        <w:br/>
        <w:t xml:space="preserve">A szakirodalomban korábban előfordult az a nézet, miszerint Aba Sámuel jelentősen pártolta a bogumilokat, sőt talán maga is az eretnekek soraihoz tartozott. Mindez azonban a források alapján nem bizonyítható, sőt elmondhatjuk, hogy Aba uralkodása elején az egyházzal való kapcsolata kifejezetten harmonikus volt.</w:t>
      </w:r>
      <w:r>
        <w:rPr>
          <w:color w:val="000000"/>
          <w:sz w:val="24"/>
          <w:szCs w:val="24"/>
        </w:rPr>
        <w:br/>
        <w:t xml:space="preserve">Szegfű László véleménye szerint az 1046-os Vata-féle pogánylázadáskor a felkelők soraiban a bogumil eretnekek is jelentős szereppel bírtak volna. Erről viszont forrásaink még utalások szintjén sem szólnak, ezért felkelésben való bogumil részvételt nem lehet megerősíteni.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00375">
    <w:multiLevelType w:val="hybridMultilevel"/>
    <w:lvl w:ilvl="0" w:tplc="53744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00375">
    <w:abstractNumId w:val="10100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83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