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KRISTÓF GYÖRGY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Körmendi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Árpád-házi uralkodók itineráns életmódja a 11-12.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egyetemes illetve a magyar szakirodalom elemzése után a rendelkezésre álló forrásanyag szisztematikus vizsgálatával illetve a külföldi kutatók eredményeinek bevonásával rekonstruáljuk a XI-XII. századi magyar királyok életmódját. A korszakban keletkezett királyi oklevelek kiadási helyeinek vizsgálatával igazoljuk az Árpádok udvarának vándorlását, majd a királyi pecséttel ellátott magánoklevelekben szereplő birtokok elhelyezkedésének új módszertan szerinti elemzésével a valódi vándorló életmód térbeli kereteit hozzávetőlegesen a Dunántúlra szűkítjük le.</w:t>
      </w:r>
      <w:r>
        <w:rPr>
          <w:color w:val="000000"/>
          <w:sz w:val="24"/>
          <w:szCs w:val="24"/>
        </w:rPr>
        <w:br/>
        <w:t xml:space="preserve">A XIV. századi Krónikakompozíció alapján rámutatunk, hogy az Árpádok udvara nemcsak a Medium Regniben vándorolt életmódszerűen, hanem a Duna, a Mecsek, a Dráva és a Rába által közrezárt, jelentősen nagyobb kiterjedésű területen. Azonban a Medium Regniben összefutó jelentős kereskedelmi útvonalak miatt királyaink már viszonylag korán meg tudták oldani a Duna, a Mecsek, a Dráva illetve a Rába által határolt területen elhelyezkedő udvarházakban megtermelt terményeknek a kiemelt királyi székhelyekbe való szállítását. Forrásaink összevetése alapján megállapítjuk, hogy a XI. században királyaink az udvarházaknak sokkal nagyobb hányadát látogatták személyesen, mint a XII-ben. Emellett úgy tűnik, hogy a XII. század második felében az Árpádok udvara már csak a Medium Regni területén tartózkodott életmódszerűen. Ugyanakkor a Medium Regni fogalma nem cserélhető fel a magterület kifejezéssel, hiszen magyar viszonylatokban az utóbbi sokkal nagyobb területet jelölt, a Duna, a Mecsek, a Dráva és a Rába által közrefogott régiót. A Medium Regni a „központ központjaként” azt a területet jelentette, ahol a Magyar Királyság legfontosabb igazgatási, gazdasági stb. centrumai helyezkedtek el.</w:t>
      </w:r>
      <w:r>
        <w:rPr>
          <w:color w:val="000000"/>
          <w:sz w:val="24"/>
          <w:szCs w:val="24"/>
        </w:rPr>
        <w:br/>
        <w:t xml:space="preserve">Az ország távoli részein lévő udvarbirtokok kapcsán ismertetjük azt az észrevételünket, hogy a XI. századi viszonyok között királyaink vélhetően nem tudhatták a központba szállítani vagy pénzre váltani az ezekben az udvarházakban megtermelt javakat. Ez a dilemma könnyedén megoldható, hogyha azt feltételezzük, hogy a XII. században felbomló óriásvármegyékben az udvarbirtokok rendszerének kiépülése egybe esett ezeknek hatalmas szervezeti egységeknek a feldarabolódásával. Végül a magyar királyok itineráns életmódjának megszűnését nem forradalmi változásként, hanem egy lassú, több lépcsős folyamatként definiáljuk, melynek kezdete a XII. század közepén keresendő, utolsó felvonása pedig II. András uralkodásának idején zajlott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8696">
    <w:multiLevelType w:val="hybridMultilevel"/>
    <w:lvl w:ilvl="0" w:tplc="30119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8696">
    <w:abstractNumId w:val="64548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659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