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GYÖRGY VERES</w:t>
            </w:r>
          </w:p>
          <w:p w:rsidR="00C275A3" w:rsidRDefault="00A96AEC" w:rsidP="00C275A3">
            <w:pPr>
              <w:pStyle w:val="Hallgatokepzes"/>
            </w:pPr>
            <w:r>
              <w:t>history</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Körmendi</w:t>
            </w:r>
          </w:p>
          <w:p w:rsidR="00DB4822" w:rsidRDefault="00DB4822" w:rsidP="00E11062">
            <w:pPr>
              <w:pStyle w:val="Konzulensek"/>
            </w:pPr>
            <w:r w:rsidRPr="00DB4822">
              <w:t>assistant professor ,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Itinerant Life Style of the Arpadian Kings in the 11-12th Centuries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After the analysis of the Hungarian and universal literature on the topic, we will reconstruct the itinerant life style of the Arpadian kings of the 11-12th centuries. Based on the geographical places which appear in the royal charters of the era, we will prove that the Arpadians’ household itinerated, and by the analysis of the private charters which were authenticated by royal seal we will locate the itinerant court of the Arpadians in the Dunántúl region.</w:t>
      </w:r>
      <w:r>
        <w:rPr>
          <w:color w:val="000000"/>
          <w:sz w:val="24"/>
          <w:szCs w:val="24"/>
        </w:rPr>
        <w:br/>
        <w:t xml:space="preserve">Examining the Chronicon (Hungariae) Pictum we will further describe where the itinerant lifestyle of the royal court existed, namely in the region defined by the Danube, by the Mecsek Mountains, and by the Dráva and Rába Rivers, which was a much larger territory than the so called Medium Regni. Yet it seems that thanks to intersection of important trade routes in the Medium Regni, the Hungarian kings were able to transport their incomes (mainly crops) from relatively early on to their preferred seats, which were located in the central parts of their country. Our sources also indicate that in the 11th century the Hungarian kings frequented a much larger number of their smaller estates located in the central region of the kingdom than in the 12th. We can also assume that in the second half of the 12th century the royal itineracy only existed in the Medium Regni. We will also prove that the term ‘Medium Regni’ is not interchangeable with the expression of heartlands, because the latter indicated a much larger region in Hungary, namely the lands defined by the Danube, by the Mecsek Mountains, and by the Dráva and Rába Rivers. The Medium Regni was more likely the ‘centre of the centre’, that is, the region where the Hungarian Kingdoms’ most important governmental, economical ect. centers were located.</w:t>
      </w:r>
      <w:r>
        <w:rPr>
          <w:color w:val="000000"/>
          <w:sz w:val="24"/>
          <w:szCs w:val="24"/>
        </w:rPr>
        <w:br/>
        <w:t xml:space="preserve">Regarding those estates which weren’t situated in the heartlands we will point out that it seems impossible to realise the transport of royal incomes (mostly in kind) from these far-away lands in the 11th century. However we can solve this dilemma using our following hypothesis. We should assume that the system of estates designated to sustain the royal household in the so called ‘giant’ comitatuses were organised in the 12th century, at the same time when these unusually large units of administration started to fragment. Lastly, we will define the end of the Hungarian monarchs’ itineracy as a slow process, which started in the middle of the 12th century, and came to an end during the reign of Andrew II.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523743">
    <w:multiLevelType w:val="hybridMultilevel"/>
    <w:lvl w:ilvl="0" w:tplc="56263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523743">
    <w:abstractNumId w:val="405237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584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