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VARRÓ</w:t>
            </w:r>
          </w:p>
          <w:p w:rsidR="00C275A3" w:rsidRDefault="00A96AEC" w:rsidP="00C275A3">
            <w:pPr>
              <w:pStyle w:val="Hallgatokepzes"/>
            </w:pPr>
            <w:r>
              <w:t>history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Molnár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power structure of Aquitaine at the turn of the first millennium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generally accepted that by the first millennium in certain provinces of the French Kingdom the king had not any actual power. Discussing the way of the power exercise's transformation, Aquitaine has come to mind a plenty time as an example, but a comprehensive research still has not been done into the internal power relations of the province itself. The examination of these relations makes possible to give the answer to the question: who possessed the real power in Aquitaine?</w:t>
      </w:r>
      <w:r>
        <w:rPr>
          <w:color w:val="000000"/>
          <w:sz w:val="24"/>
          <w:szCs w:val="24"/>
        </w:rPr>
        <w:br/>
        <w:t xml:space="preserve">To resolve this problem we can rely on the Chronicles of Ademar of Chabannes and the Conventum as primary sources. It must be mentioned that they approach the subject from different point of view, but both of them support the statement that not the king practiced the highest power in Aquitaine. Considering this fact during the researches of the last sixty years two different theories developed. According to Georges Duby and his followers, the power was transferred into the hands of the castellans, while on the other hand, among others Dominique Barthélemy says that the dukes and the counts retained their leading role.</w:t>
      </w:r>
      <w:r>
        <w:rPr>
          <w:color w:val="000000"/>
          <w:sz w:val="24"/>
          <w:szCs w:val="24"/>
        </w:rPr>
        <w:br/>
        <w:t xml:space="preserve">My research aimed to make a description of the power relations by examining their structure on the micro level. During this I looked into the relationships of Aquitaine's politically most important families, putting emphasis especially on William V (middle of the 990s–1030) who was considered to be the most powerful landlord by both the Conventum and the Chronicles.</w:t>
      </w:r>
      <w:r>
        <w:rPr>
          <w:color w:val="000000"/>
          <w:sz w:val="24"/>
          <w:szCs w:val="24"/>
        </w:rPr>
        <w:br/>
        <w:t xml:space="preserve">Basically the relationships were characterized by continuous conflicts and frequently changed alliances. The root of the conflicts was the fact that the landlords, belonging to different levels of the hierarchy, constantly tried to expand their power which based on the owned fief. Its inheritance or loss had a determining role in the internal life of the province.</w:t>
      </w:r>
      <w:r>
        <w:rPr>
          <w:color w:val="000000"/>
          <w:sz w:val="24"/>
          <w:szCs w:val="24"/>
        </w:rPr>
        <w:br/>
        <w:t xml:space="preserve">Inconnection with this issue further research opportunities could be eg. the examination of the relationships' strength or the importance of the external relationships by involving further sources (primarily diplomas) into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87207">
    <w:multiLevelType w:val="hybridMultilevel"/>
    <w:lvl w:ilvl="0" w:tplc="60400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87207">
    <w:abstractNumId w:val="32387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466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