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MIRCZIK BÁLINT</w:t>
            </w:r>
          </w:p>
          <w:p w:rsidR="00C275A3" w:rsidRDefault="00A96AEC" w:rsidP="00C275A3">
            <w:pPr>
              <w:pStyle w:val="Hallgatokepzes"/>
            </w:pPr>
            <w:r>
              <w:t>történelem-magyar tanári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Nagy Balázs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Áldott vagy átkozott szegénység: A szegénység fogalmának változása a késő-középkori Angliában a Piers The Ploughman című költemény nyomán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„Ezek a reformok mintegy hatvan-hetven városban zajlottak le, és az alamizsnálkodás hagyományos tanával szembeni mély ellenszenv jelei voltak. Egyike volt ez azon hatalmas változásoknak, melyek végül a modern társadalom kialakulásához vezettek.” – Így jellemzi Bronislaw Geremek társadalomtörténész a 16. század eleji Európa szegénységpolitikájának változásait, helyesebben annak megszületését. Mik voltak azok a tényezők, melyek a kereszténység „hagyományos” attitűdjét ennyire megváltoztatták, hol, miért és mikor következett be az „erózió”, mely az európai társadalom viszonyát a szegénység és munka (általában együtt járó) fogalmai iránt ebbe az irányban formálták – ez a dolgozat témája. Különféle forrásokra támaszkodva, mégis elsősorban a Piers The Ploughman címet viselő 14. század végi angol verses alkotás nyomán azt vizsgálom, hogyan változott a többségi társadalom attitűdje – mely elsősorban felelős az önmagukat szegénynek tartó kisebbség identitásáért – a szegénység jelenségével szemben.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költemény utópisztikus képein keresztül felvázolom hogyan változott az alamizsnálkodáshoz, és mindenekelőtt a kolduláshoz fűződő középkorias viszony, hogy átadja helyét egy a munka és szegénység kérdéseit újszerű fényben értelmező szemléletnek. Piers, a szentéletű szántóvető történetében ezt a szemléletet követem, s jutok arra következtetésre, hogy a műben, – mintegy 150 évvel megelőzve azt – a „protestáns munkaetika” gyökereit fedezhetjük fel. Helyesebb ezért a reformációt és az azt megelőző korszakot e tekintetben sem izoláltan szemlélni, hanem az olyan lényeges kérdések, mint a szegénység és munka értelmezéseinek változásait összetett, szerves fejlődés eredményeként látni.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535375">
    <w:multiLevelType w:val="hybridMultilevel"/>
    <w:lvl w:ilvl="0" w:tplc="561296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535375">
    <w:abstractNumId w:val="8853537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24178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