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MIRCZIK</w:t>
            </w:r>
          </w:p>
          <w:p w:rsidR="00C275A3" w:rsidRDefault="00A96AEC" w:rsidP="00C275A3">
            <w:pPr>
              <w:pStyle w:val="Hallgatokepzes"/>
            </w:pPr>
            <w:r>
              <w:t>history-hungarian teacher</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Nagy</w:t>
            </w:r>
          </w:p>
          <w:p w:rsidR="00DB4822" w:rsidRDefault="00DB4822" w:rsidP="00E11062">
            <w:pPr>
              <w:pStyle w:val="Konzulensek"/>
            </w:pPr>
            <w:r w:rsidRPr="00DB4822">
              <w:t>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Blessed or cursed poverty: Changes in the concept of poverty in late medieval England through the examination of the work Piers the Ploughman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„These reforms, which took place in sixty or seventy European cities, were the expression of a profound dissatisfaction with the traditional doctrine of charity. They were among the enormous changes which ultimately led to the formation of modern society.” – These are the words of Bronislaw Geremek social historian, concerning the changes in (or more precisely the creation of) poverty policy in early 16th Century Western-Europe. But how could such sweeping reforms succeed, what underlying phenomena especially in the social mentality must have preceded them that enabled the “common eye” of European society to look upon the notions of poverty and work – usually intertwined – with a changed view? This is the subject of this essay. I am trying to investigate the changes in social attitude towards work and poverty in the pre-reformation period by using various sources, with special emphasis on a late-fourteenth century English work titled Piers the Ploughman.</w:t>
      </w:r>
    </w:p>
    <w:p>
      <w:pPr>
        <w:pBdr/>
        <w:spacing w:before="240" w:after="240" w:line="240" w:lineRule="auto"/>
        <w:ind w:left="0" w:right="0"/>
        <w:jc w:val="left"/>
      </w:pPr>
      <w:r>
        <w:rPr>
          <w:color w:val="000000"/>
          <w:sz w:val="24"/>
          <w:szCs w:val="24"/>
        </w:rPr>
        <w:t xml:space="preserve">Through the utopian images of the poem, which conceive a brave program for overcoming poverty and idleness in society, and at the same time reflect on recent events and changes in economic and religious life in England, I attempt to demonstrate how the concept of charity has changed and how “traditional” ideas about begging and poverty gave way to a new approach. In the story of Piers, the holy ploughman, I investigate this approach, and come to the conclusion that it contains the seeds of what will later be called “protestant work ethic”. My intension is to show how social thought was already beginning to change in the 14th century world of Piers the Ploughman; the changes and ideas that became more pronounced and found a fertile ground in the early 16th century Protestantism.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28246">
    <w:multiLevelType w:val="hybridMultilevel"/>
    <w:lvl w:ilvl="0" w:tplc="23605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28246">
    <w:abstractNumId w:val="141282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99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