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KIS</w:t>
            </w:r>
          </w:p>
          <w:p w:rsidR="00C275A3" w:rsidRDefault="00A96AEC" w:rsidP="00C275A3">
            <w:pPr>
              <w:pStyle w:val="Hallgatokepzes"/>
            </w:pPr>
            <w:r>
              <w:t>Meteorology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Pongrácz</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Projected trends of precipitation indices for the 21st century in Central/Eastern Europe using bias–corrected precipitation fields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Weather evidently determines our daily lives; whereas on longer terms, climate may substantially affect a wide range of human activities. In the last decades the global mean temperature increased due to anthropogenic activities. However, climate change can be recognised not only in higher temperature values but also more frequent and more intense extreme weather events (e.g., severe storms, intense thunderstorms, longer droughts, heat waves, etc.). Since these extreme climate conditions may cause several environmental, economical and health damages, it is essential to estimate the future trends for the coming decades. In this paper, extreme precipitation indices are analysed for Central/Eastern Europe (43,625–50,625°N; 13,875–26,375°E) during the 1951–2100 time period.</w:t>
      </w:r>
    </w:p>
    <w:p>
      <w:pPr>
        <w:pBdr/>
        <w:spacing w:before="240" w:after="240" w:line="240" w:lineRule="auto"/>
        <w:ind w:left="0" w:right="0"/>
        <w:jc w:val="left"/>
      </w:pPr>
      <w:r>
        <w:rPr>
          <w:color w:val="000000"/>
          <w:sz w:val="24"/>
          <w:szCs w:val="24"/>
        </w:rPr>
        <w:t xml:space="preserve">For analysing the precipitation indices, we used simulation outputs of nine regional climate models (RCM: ALADIN, RegCM, RACMO2, RCA, REMO, HIRHAM, RCA3, CLM, HadRM3Q) from the ENSEMBLES project, which was supported by the European Union. All the RCM experiments considered the SRES A1B scenario. The necessary initial and boundary conditions were provided by three different global climate models (ARPEGE, ECHAM5, HadCM). In order to decrease systematic errors in the RCM simulated precipitation, a bias correction method has been applied to the raw data for which the E-OBS database served as a reference. The so-called quantile-matching technique is able to adjust the monthly distribution of simulated daily precipitation to the distribution of E-OBS data based on measurements. Thus, the use of multiplicative factors results in good fits of the distributions of bias-corrected simulated and E-OBS precipitation data for each grid point. The entire analysed area are separated for nine sub-regions (Eastern– Austria, Southeastern– Czech Republic, Croatia, Hungary, Romania, Slovakia, Slovenia, Southwestern– Ukraine) for which we analysed nine precipitation indices. In this paper we focus on the indices related to precipitation intensity (i.e., RR10, RR20, RX1, RX5, SDII). According to our results, the indices are likely to increase in all seasons in Central/Eastern Europe in the future, except summer, when remarkable decrease is projected in the southern regions.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31652">
    <w:multiLevelType w:val="hybridMultilevel"/>
    <w:lvl w:ilvl="0" w:tplc="88817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31652">
    <w:abstractNumId w:val="408316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4609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