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BARTHA</w:t>
            </w:r>
          </w:p>
          <w:p w:rsidR="00C275A3" w:rsidRDefault="00A96AEC" w:rsidP="00C275A3">
            <w:pPr>
              <w:pStyle w:val="Hallgatokepzes"/>
            </w:pPr>
            <w:r>
              <w:t>Philosophy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Faragó-Szabó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Berkeley's Cartesianism and the Two Models of Self-knowledge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paper’s aim to reckon with the Cartesian-interpretation of Berkeley. In the first part of the paper I examine the significance of the doctrine of innatism and the function of the pure intellect in Berkeley’s philosophy. In the course of this examination I argue that Berkeley’s attitude essentially differs from Locke’s conceptual-empiricism. However, as in the second part of the paper I conclude, the opinion adopted by Berkeley cannot be identified, without any restraint, with the Cartesian innatism. Concerning the reflexion and the related questions of their philosophy of mind it will turn out that Descartes and Berkeley had different notions regarding the relationship between the thought and the soul, and they worked out two, fundamentally distinct theories of self-knowledge.</w:t>
      </w:r>
    </w:p>
    <w:p>
      <w:pPr>
        <w:widowControl w:val="on"/>
        <w:pBdr/>
        <w:spacing w:before="240" w:after="240" w:line="240" w:lineRule="auto"/>
        <w:ind w:left="0" w:right="0"/>
        <w:jc w:val="left"/>
      </w:pPr>
      <w:r>
        <w:rPr>
          <w:color w:val="000000"/>
          <w:sz w:val="24"/>
          <w:szCs w:val="24"/>
        </w:rPr>
        <w:t xml:space="preserve">The differences between their concepts result not just from the fact that the Berkelian sort of self-knowledge is not a perceptual one, but their theories also differ because in Berkeley’s theory what the self-knowledge reveals are wholly heterogeneous kinds of entities: the wholly active soul and the totally passive idea. For Descartes, however, since the soul and the thought are actually the same, and since the ideas are conceived as modes of the spiritual substance, the act of the self-knowledge reveals the essence of ourselves indistinguishably of the idea(s) by this act occurs. Berkeley, however, since he rejected the ’substance-mode’ distinction, claimed that based on ideas we will come to know almost nothing of ourselves.</w:t>
      </w:r>
    </w:p>
    <w:p>
      <w:pPr>
        <w:widowControl w:val="on"/>
        <w:pBdr/>
        <w:spacing w:before="240" w:after="240" w:line="240" w:lineRule="auto"/>
        <w:ind w:left="0" w:right="0"/>
        <w:jc w:val="left"/>
      </w:pPr>
      <w:r>
        <w:rPr>
          <w:color w:val="000000"/>
          <w:sz w:val="24"/>
          <w:szCs w:val="24"/>
        </w:rPr>
        <w:t xml:space="preserve">According to Berkeley, the proper self-knowledge is the awareness of the perceptual relation existing between the I, qua the perciever and the idea, qua the percieved. And this is exactly that sphere where our innate notions are presented. What is innate to us are not ideas, not – despite their contents being the same – the Cartesian innate ideas, but something that can be apprehended mostly as active approaches which are manifested in these not objectifiable notions. So, if beyond the hardly disputable similarities we recognize these differences concealed in the details, we may gain a more accurate interpetation of the sense in which Berkeley can be called an „Irish Cartesian”.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86419">
    <w:multiLevelType w:val="hybridMultilevel"/>
    <w:lvl w:ilvl="0" w:tplc="42744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86419">
    <w:abstractNumId w:val="12386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632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