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TAKÓ FERENC</w:t>
            </w:r>
          </w:p>
          <w:p w:rsidR="00C275A3" w:rsidRDefault="00A96AEC" w:rsidP="00C275A3">
            <w:pPr>
              <w:pStyle w:val="Hallgatokepzes"/>
            </w:pPr>
            <w:r>
              <w:t>Filozófia</w:t>
            </w:r>
            <w:r>
              <w:br/>
            </w:r>
            <w:r w:rsidR="00E77B23">
              <w:t>MA, 11.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Várnai András</w:t>
            </w:r>
          </w:p>
          <w:p w:rsidR="00DB4822" w:rsidRDefault="00DB4822" w:rsidP="00E11062">
            <w:pPr>
              <w:pStyle w:val="Konzulensek"/>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hasonlóság tanítói és a tanítók hasonlósága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komparatisztika mint metodológiai elv immár több mint egy évszázada meghatározó a modern tudományban. Az egyes nyelvek, vallások, irodalmi tradíciók, illetve filozófiai iskolák és korszakok szeparált, szinkrón és diakrón vizsgálatát az összehasonlító módszer a XIX. század óta kiegészíti, s több tekintetben fel is váltotta.</w:t>
      </w:r>
    </w:p>
    <w:p>
      <w:pPr>
        <w:pBdr/>
        <w:spacing w:before="240" w:after="240" w:line="240" w:lineRule="auto"/>
        <w:ind w:left="0" w:right="0"/>
        <w:jc w:val="left"/>
      </w:pPr>
      <w:r>
        <w:rPr>
          <w:color w:val="000000"/>
          <w:sz w:val="24"/>
          <w:szCs w:val="24"/>
        </w:rPr>
        <w:t xml:space="preserve">A filozófiai komparatisztika (a komparatív és az interkulturális filozófia) együtt jár a transz­kulturalitással, ami ez esetben az egymástól izoláltan kialakult bölcseleti hagyományok közös keretben való vizsgálatát jelenti. Ezen irányzatnak azonban nem az a célja, hogy megismerje és leírja az egyes hagyományok sajátosságait. Képviselői ehelyett olykor meglehetősen idealisztikus, s inkább axiómaként mintsem munkahipotézisként kezelt feltevésekkel fognak hozzá egy kultúrák – elsősorban „Kelet és Nyugat” – közötti diskurzus megalapozásához. E vállalkozás rendszerint morálfilozófiai irányultságú, számos alkalommal kanti vonatkozásokkal, az egyes kísérletek pedig túlnyomórészt eurocentrikus attitűddel, a kontinentális tradícióba ágyazva születnek meg.</w:t>
      </w:r>
    </w:p>
    <w:p>
      <w:pPr>
        <w:pBdr/>
        <w:spacing w:before="240" w:after="240" w:line="240" w:lineRule="auto"/>
        <w:ind w:left="0" w:right="0"/>
        <w:jc w:val="left"/>
      </w:pPr>
      <w:r>
        <w:rPr>
          <w:color w:val="000000"/>
          <w:sz w:val="24"/>
          <w:szCs w:val="24"/>
        </w:rPr>
        <w:t xml:space="preserve">Dolgozatom első felében áttekintem a kínai bölcselet európai recepciótörténetét (I.1.), majd a kortárs komparatív és interkulturális filozófiát konstituáló tényezőket mutatom be, a komparatív grammatikai hagyománnyal való összevetésben vizsgálva az irányzatok sajátosságait (I.2.). Ezt az elméleti összefoglalást egy „esettanulmány” követi (I.3.), amely egy 2011 nyarán Kölnben megrendezett interkulturális filozófiai konferencia tanulságainak tükrében szemlélteti az I.2. szakaszban bemutatott elméletre épülő gyakorlat hibáit, megkérdőjelezve egyes alapelvek általános-érvényűségét.</w:t>
      </w:r>
    </w:p>
    <w:p>
      <w:pPr>
        <w:pBdr/>
        <w:spacing w:before="240" w:after="240" w:line="240" w:lineRule="auto"/>
        <w:ind w:left="0" w:right="0"/>
        <w:jc w:val="left"/>
      </w:pPr>
      <w:r>
        <w:rPr>
          <w:color w:val="000000"/>
          <w:sz w:val="24"/>
          <w:szCs w:val="24"/>
        </w:rPr>
        <w:t xml:space="preserve">A második szakaszt Athanasius Kircher és Hegel történelem-értelmezésének komparatív vizsgálata alkotja. E soha fel nem vetett összehasonlító kísérlet keretében a kircheri deduktív tudományszemlélet (II.1.) és a történelmet a Szellem fejlődési folyamataként interpretáló Hegel rendszere (II.2.) közti különbségek bemutatása mellett egy jelentős strukturális, illetve módszertani (nem ideológiai) párhuzamra is rámutatok (II.3). Ez a vizsgálat kettős szerepet lát el, amennyiben egyfelől példát szolgáltat a filozófiai összehasonlítás konstruktív, tárgyilagos alkalmazására, másfelől, Kircher és Hegel történelem-képének elsősorban a Keletet érintő aspektusaira fókuszálva, kialakít egy keretet, melyben megragadhatók Kelet és Nyugat reflektálatlan összevetésének csapdái és határai.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61493">
    <w:multiLevelType w:val="hybridMultilevel"/>
    <w:lvl w:ilvl="0" w:tplc="58534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61493">
    <w:abstractNumId w:val="968614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75636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