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TAKO</w:t>
            </w:r>
          </w:p>
          <w:p w:rsidR="00C275A3" w:rsidRDefault="00A96AEC" w:rsidP="00C275A3">
            <w:pPr>
              <w:pStyle w:val="Hallgatokepzes"/>
            </w:pPr>
            <w:r>
              <w:t>Philosophy</w:t>
            </w:r>
            <w:r>
              <w:br/>
            </w:r>
            <w:r w:rsidR="00E77B23">
              <w:t>MA,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Varnai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Masters of Similarity and the Similarity of the Masters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methodological principle, comparativism has dominated modern human sciences for more than a hundred years now. Beginning with the 19th century, the comparative method has supplemented, or in some sense replaced the separated, synchronic and diachronic research of languages, religions, literary traditions and of philosophical schools and eras.</w:t>
      </w:r>
    </w:p>
    <w:p>
      <w:pPr>
        <w:pBdr/>
        <w:spacing w:before="240" w:after="240" w:line="240" w:lineRule="auto"/>
        <w:ind w:left="0" w:right="0"/>
        <w:jc w:val="left"/>
      </w:pPr>
      <w:r>
        <w:rPr>
          <w:color w:val="000000"/>
          <w:sz w:val="24"/>
          <w:szCs w:val="24"/>
        </w:rPr>
        <w:t xml:space="preserve">Philosophical comparativism (Comparative Philosophy and Intercultural Philosophy) goes hand in hand with transculturality which here means the examination of separately emerged philosophical traditions in a common framework. The aim of this movement, however, is not to recognise or to describe the nature of different traditions. Instead, thinkers of these schools are working on grounding a discourse between cultures (mainly between “East” and “West”) using their occasionally quite idealistic suppositions as axioms rather than as work hypotheses. This task is usually aimed in the direction of moral philosophy, many times related to Kant, and particular attempts are mostly characterized by a Eurocentric attitude embedded in continental tradition.</w:t>
      </w:r>
    </w:p>
    <w:p>
      <w:pPr>
        <w:pBdr/>
        <w:spacing w:before="240" w:after="240" w:line="240" w:lineRule="auto"/>
        <w:ind w:left="0" w:right="0"/>
        <w:jc w:val="left"/>
      </w:pPr>
      <w:r>
        <w:rPr>
          <w:color w:val="000000"/>
          <w:sz w:val="24"/>
          <w:szCs w:val="24"/>
        </w:rPr>
        <w:t xml:space="preserve">In the first part of this essay I review the European reception of Chinese philosophy (I.1.), then I analyse the constitutive factors of Comparative and Intercultural Philosophy, examining their features compared to those of Comparative Grammar (I.2.). These reviews are followed by a “casework” (I.3.), which, in light of the morals of a conference on Intercultural Philosophy held in Cologne in the summer of 2011, discloses the failures of the practice founded on the theory showed in section I.2., also querying the general applicability of some principles.</w:t>
      </w:r>
    </w:p>
    <w:p>
      <w:pPr>
        <w:pBdr/>
        <w:spacing w:before="240" w:after="240" w:line="240" w:lineRule="auto"/>
        <w:ind w:left="0" w:right="0"/>
        <w:jc w:val="left"/>
      </w:pPr>
      <w:r>
        <w:rPr>
          <w:color w:val="000000"/>
          <w:sz w:val="24"/>
          <w:szCs w:val="24"/>
        </w:rPr>
        <w:t xml:space="preserve">The second part contains the comparative examination of Athanasius Kircher’s and Hegel’s interpretation of history. In this previously never suggested comparative attempt, not only the differences between Kircher’s deductive scientific methodology (II.1.) and the system of Hegel who interpreted history as the progressive process of Spirit’s evolution (II.2.) are pointed out, but also an important structural and methodological (not ideological) parallel between the two thinkers (II.3). The role of this examination is twofold as it gives an example of a constructive and objective mode of philosophical comparison and on the other hand, by focusing on the aspects of Kircher’s and Hegel’s views on the East, provides a framework in which the traps and limits of the unreflected comparison between East and West can be shown.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12608">
    <w:multiLevelType w:val="hybridMultilevel"/>
    <w:lvl w:ilvl="0" w:tplc="76199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12608">
    <w:abstractNumId w:val="72112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171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