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OLIVÉR ISTVÁN TÓTH</w:t>
            </w:r>
          </w:p>
          <w:p w:rsidR="00C275A3" w:rsidRDefault="00A96AEC" w:rsidP="00C275A3">
            <w:pPr>
              <w:pStyle w:val="Hallgatokepzes"/>
            </w:pPr>
            <w:r>
              <w:t>MA in Philosophy</w:t>
            </w:r>
            <w:r>
              <w:br/>
            </w:r>
            <w:r w:rsidR="00E77B23">
              <w:t>MA, 8.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Ella Csikós</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place of the chapter "Observation of Nature" in The Phenomenology of Spirit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presentation I will examine the chapter „Observation of Nature” of The Phenomenology of Spirit in the context of the argument of the whole book. First, I will sketch the main project of the Phenomenology with respect to the Hegelian critique of Kant’s transcendental idealism. In this, I will put a special emphasis on the important aspect of the Notion-object relationship in the work of the two authors. Second, I will show what role the main concepts of the philosophy of nature, namely (a) natural law, (2) concept of the organic, (c) natural kind, play in Hegel’s (1) general polemics against Kant and in his (2) specific polemics against Newton. Third, I will give the interpretation of the chapter in four different frameworks: (i) Pinkard’s historical reading, (ii) Stewart’s narrative concerning history of science and epistemology, (iii) Merold Wespthal”s ethical reading and (iv) Solomon’s account of philosophy of science.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19004">
    <w:multiLevelType w:val="hybridMultilevel"/>
    <w:lvl w:ilvl="0" w:tplc="44709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19004">
    <w:abstractNumId w:val="25319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990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