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DIÁNA KISPÁL</w:t>
            </w:r>
          </w:p>
          <w:p w:rsidR="00C275A3" w:rsidRDefault="00A96AEC" w:rsidP="00C275A3">
            <w:pPr>
              <w:pStyle w:val="Hallgatokepzes"/>
            </w:pPr>
            <w:r>
              <w:t>hungarian </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Tóth</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1086 Charter of the Bakonybél Abbey as a Source for the History of Toponyms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Hungarian studies in toponomastics and historical lingustics have primarily focused on the data of charters with unquestioned genuineness. By the analysis of the 1086 charter of the Bakonybél Abbey from multiple aspects, I attempt to prove that even charters with questionable genuineness can serve as reliable sources for historical linguistics and toponymic studies, although with special attention and specific methodological principles. This may be especially relevant due to the fact that the early centuries of Hungarian literacy have rather few written sources.</w:t>
      </w:r>
    </w:p>
    <w:p>
      <w:pPr>
        <w:pBdr/>
        <w:spacing w:before="240" w:after="240" w:line="240" w:lineRule="auto"/>
        <w:ind w:left="0" w:right="0"/>
        <w:jc w:val="left"/>
      </w:pPr>
      <w:r>
        <w:rPr>
          <w:color w:val="000000"/>
          <w:sz w:val="24"/>
          <w:szCs w:val="24"/>
        </w:rPr>
        <w:t xml:space="preserve">In my essay – following a short introduction to the history and practice of writing charters – I show the characteristics of the selected interpolated (that is to say altered with amendments and additions subsequently) charter, considering two aspects. First, I focus on the ways the scriptors fit the Hungarian toponyms into the Latin text of the charter. In this analysis I also call attention to the differences between the lingustic attributes of the original text of the charter and the added parts.</w:t>
      </w:r>
    </w:p>
    <w:p>
      <w:pPr>
        <w:pBdr/>
        <w:spacing w:before="240" w:after="240" w:line="240" w:lineRule="auto"/>
        <w:ind w:left="0" w:right="0"/>
        <w:jc w:val="left"/>
      </w:pPr>
      <w:r>
        <w:rPr>
          <w:color w:val="000000"/>
          <w:sz w:val="24"/>
          <w:szCs w:val="24"/>
        </w:rPr>
        <w:t xml:space="preserve">The second chapter of my paper consists of the onomastical study of the toponyms found in the charter. Here I look at the structural and historical characteristics of texts with toponymic parts, at the differences between the geographical names and settlement names from this apsect, and – by the comparison of the findings here and the linguistic characteristics of the establishing charter of the Abbey of Tihany from the 11th century – I consider the consequences that can be drawn from these in relation to the toponym creation in Árpád-age Hungarian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70140">
    <w:multiLevelType w:val="hybridMultilevel"/>
    <w:lvl w:ilvl="0" w:tplc="73559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70140">
    <w:abstractNumId w:val="56170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436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