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BŰDI</w:t>
            </w:r>
          </w:p>
          <w:p w:rsidR="00C275A3" w:rsidRDefault="00A96AEC" w:rsidP="00C275A3">
            <w:pPr>
              <w:pStyle w:val="Hallgatokepzes"/>
            </w:pPr>
            <w:r>
              <w:t>Fenno-Ugric Studies</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Maticsák</w:t>
            </w:r>
          </w:p>
          <w:p w:rsidR="00DB4822" w:rsidRDefault="00DB4822" w:rsidP="00E11062">
            <w:pPr>
              <w:pStyle w:val="Konzulensek"/>
            </w:pPr>
            <w:r w:rsidRPr="00DB4822">
              <w:t>  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Finnish translations of the Lord’s Prayer from the 16th and 17th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my essay my aim was to analyse the Finnish translations of the Lord’s Prayer from the 16th and 17th century. As in my opinion the demonstration of the cultural background of the texts is important, in the beginning, the historical and cultural backgrounds of the era (the period between the 1540s and 1690s) are discussed. I also make reference to the relationship between the Finnish church and the Swedish Empire in the 16th and 17th centuries as the subordinate position of Finland had an impact on all Finnish procedures. Moreover, the influences of the Reformation are also discussed as they induced the development of education and printing, which together led to the creation of the examined texts.</w:t>
      </w:r>
      <w:r>
        <w:rPr>
          <w:color w:val="000000"/>
          <w:sz w:val="24"/>
          <w:szCs w:val="24"/>
        </w:rPr>
        <w:br/>
        <w:t xml:space="preserve"> In the third part of this essay, the milestones of the birth of the Finnish - religious - literature are reviewed. Subsequently, the work of Agricola, an influential character of his era, and other important works are also discussed.</w:t>
      </w:r>
      <w:r>
        <w:rPr>
          <w:color w:val="000000"/>
          <w:sz w:val="24"/>
          <w:szCs w:val="24"/>
        </w:rPr>
        <w:br/>
        <w:t xml:space="preserve"> In the fourth part, the evolution of the orthography of the era is discussed as this (together with the development of printing techniques) was a long process.The orthographical peculiarities of the Agricolan era are described first, followed by a discussion about the peculiarities of the subsequent eras.</w:t>
      </w:r>
      <w:r>
        <w:rPr>
          <w:color w:val="000000"/>
          <w:sz w:val="24"/>
          <w:szCs w:val="24"/>
        </w:rPr>
        <w:br/>
        <w:t xml:space="preserve"> Finally, in the last, fifth part the seven translations of the Lord’s Prayer of the period are introduced and examined together with the contemporary one from an orthographical, phonetical and morphological viewpoint. Through the parallel examination of the texts, those that served as a basis for future translations will be identified and will be distinguished from those that proved to be only short-lived experiments.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57900">
    <w:multiLevelType w:val="hybridMultilevel"/>
    <w:lvl w:ilvl="0" w:tplc="82978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57900">
    <w:abstractNumId w:val="99457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264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