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BARTON</w:t>
            </w:r>
          </w:p>
          <w:p w:rsidR="00C275A3" w:rsidRDefault="00A96AEC" w:rsidP="00C275A3">
            <w:pPr>
              <w:pStyle w:val="Hallgatokepzes"/>
            </w:pPr>
            <w:r>
              <w:t>Library and Information Science</w:t>
            </w:r>
            <w:r>
              <w:br/>
            </w:r>
            <w:r w:rsidR="00E77B23">
              <w:t>MA, 7.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VANDA PÁL</w:t>
            </w:r>
          </w:p>
          <w:p w:rsidR="00DB4822" w:rsidRDefault="00C275A3" w:rsidP="004D7940">
            <w:pPr>
              <w:pStyle w:val="Hallgatokepzes"/>
            </w:pPr>
            <w:r>
              <w:t>Library and Information Science</w:t>
            </w:r>
            <w:r w:rsidR="00A96AEC">
              <w:br/>
              <w:t>MA, 7.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Humanities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Ágnes Barátné Hajdu</w:t>
            </w:r>
          </w:p>
          <w:p w:rsidR="00DB4822" w:rsidRDefault="00DB4822" w:rsidP="00E11062">
            <w:pPr>
              <w:pStyle w:val="Konzulensek"/>
            </w:pPr>
            <w:r w:rsidRPr="00DB4822">
              <w:t> 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Open access and classification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is about the open access initiatives and the freedom of sources, institutional repositories and open access journals which easily a perfect way to achieve Freedom of Information era. The paper presents very useful practices of classification in open access publications; and also metadata related techniques, such as OAI-PMH, Dublin Core, Extensible Markup Language (XML) and the structures of Resource Description Language (RDF). These are the technologies that provide us the basis of the taxonomies, ontologies and thesauri of the Semantic Web. The topic is demonstrated through the examples of search engines like OAIster, Google Scholar, OpenDOAR and the Hungarian repositories. The paper suggests that the open publications create an operative system through the classification options of the described technologies, which is accessible to everyone as part of the "Surface Web" as well as to researchers and different levels of education.</w:t>
      </w:r>
    </w:p>
    <w:p>
      <w:pPr>
        <w:pBdr/>
        <w:spacing w:before="240" w:after="240" w:line="240" w:lineRule="auto"/>
        <w:ind w:left="0" w:right="0"/>
        <w:jc w:val="left"/>
      </w:pPr>
      <w:r>
        <w:rPr>
          <w:color w:val="000000"/>
          <w:sz w:val="24"/>
          <w:szCs w:val="24"/>
        </w:rPr>
        <w:drawing>
          <wp:inline distT="0" distB="0" distL="0" distR="0">
            <wp:extent cx="5810400" cy="3600000"/>
            <wp:docPr id="98393604" name="name150e60f113987c" descr="imgtmp_22430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2430_int_1.jpg"/>
                    <pic:cNvPicPr/>
                  </pic:nvPicPr>
                  <pic:blipFill>
                    <a:blip r:embed="rId150e60f113983e" cstate="print"/>
                    <a:stretch>
                      <a:fillRect/>
                    </a:stretch>
                  </pic:blipFill>
                  <pic:spPr>
                    <a:xfrm>
                      <a:off x="0" y="0"/>
                      <a:ext cx="5810400" cy="36000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414367">
    <w:multiLevelType w:val="hybridMultilevel"/>
    <w:lvl w:ilvl="0" w:tplc="705516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414367">
    <w:abstractNumId w:val="984143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2621122" Type="http://schemas.openxmlformats.org/officeDocument/2006/relationships/numbering" Target="numbering.xml"/><Relationship Id="rId150e60f113983e" Type="http://schemas.openxmlformats.org/officeDocument/2006/relationships/image" Target="media/imgrId150e60f113983e.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