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KALMÁR</w:t>
            </w:r>
          </w:p>
          <w:p w:rsidR="00C275A3" w:rsidRDefault="00A96AEC" w:rsidP="00C275A3">
            <w:pPr>
              <w:pStyle w:val="Hallgatokepzes"/>
            </w:pPr>
            <w:r>
              <w:t>Library and Information Science</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Hajdu Barát</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IFLA in the renewal of classification procedures and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the dissertation is to present the role that IFLA plays in the renewal of classification procedures and methods. The study focuses mainly on IFLA’s role in classification and indexing, and a few solutions for this exact problem will be presented, which is made by the help of different methods. The presentation consists of 2 main parts: the description of IFLA, and the related Classification and indexing section in the first part. Inside the section, we will introduce the closed (Working Group on Functional Requirements for Subject Authority Records, Working Group on Guidelines for Subject Access by National Bibliographic Agencies, Working Group on Multilingual Thesauri) and currently open projects (IFLA Namespaces Task Group) throughly. There will also be a short chapter about overviewing the section’s publications.</w:t>
      </w:r>
    </w:p>
    <w:p>
      <w:pPr>
        <w:widowControl w:val="on"/>
        <w:pBdr/>
        <w:spacing w:before="240" w:after="240" w:line="240" w:lineRule="auto"/>
        <w:ind w:left="0" w:right="0"/>
        <w:jc w:val="left"/>
      </w:pPr>
      <w:r>
        <w:rPr>
          <w:color w:val="000000"/>
          <w:sz w:val="24"/>
          <w:szCs w:val="24"/>
        </w:rPr>
        <w:t xml:space="preserve">The second part of the dissertation studies the connection between RDF, SKOS and NKOS, and the relation to IFLA. In orded to find the connection between these, the Satellie conference lectures will provide help, because this conference seeked answers on how to use the metadatas to renew the classification. This will also be featured. After this comes the detailed overview of RDF, NKOS and SKOS.</w:t>
      </w:r>
    </w:p>
    <w:p>
      <w:pPr>
        <w:widowControl w:val="on"/>
        <w:pBdr/>
        <w:spacing w:before="240" w:after="240" w:line="240" w:lineRule="auto"/>
        <w:ind w:left="0" w:right="0"/>
        <w:jc w:val="left"/>
      </w:pPr>
      <w:r>
        <w:rPr>
          <w:color w:val="000000"/>
          <w:sz w:val="24"/>
          <w:szCs w:val="24"/>
        </w:rPr>
        <w:t xml:space="preserve">The RDF (Resource Description Framework) is a basic tool of the semantic web, which consists of metadata affirmations. So how does this links to classification? The previously mention semantic web needs to build ontologies. This task is completed by OWL (Web Ontolgy Language), which is built out of RDF and RDFS.</w:t>
      </w:r>
    </w:p>
    <w:p>
      <w:pPr>
        <w:widowControl w:val="on"/>
        <w:pBdr/>
        <w:spacing w:before="240" w:after="240" w:line="240" w:lineRule="auto"/>
        <w:ind w:left="0" w:right="0"/>
        <w:jc w:val="left"/>
      </w:pPr>
      <w:r>
        <w:rPr>
          <w:color w:val="000000"/>
          <w:sz w:val="24"/>
          <w:szCs w:val="24"/>
        </w:rPr>
        <w:t xml:space="preserve">In order to understand NKOS (Networked Knowledge Organization Systems/Services) the study also focuses on KOS (Knowledge Organization Systems). To understand why NKOS is important, it’s mandatory to define KOS definition and it’s subtypes. One of the definitions of KOS, which sais „a general term, which refers to semantic tools” helps to understand that NKOS „helps” these semantic tools.</w:t>
      </w:r>
    </w:p>
    <w:p>
      <w:pPr>
        <w:widowControl w:val="on"/>
        <w:pBdr/>
        <w:spacing w:before="240" w:after="240" w:line="240" w:lineRule="auto"/>
        <w:ind w:left="0" w:right="0"/>
        <w:jc w:val="left"/>
      </w:pPr>
      <w:r>
        <w:rPr>
          <w:color w:val="000000"/>
          <w:sz w:val="24"/>
          <w:szCs w:val="24"/>
        </w:rPr>
        <w:t xml:space="preserve">Lastly, several of the SKOS (Simple Knowledge Organization System) datamodel’s informations is presented. The SKOS (like the OWL) is built from RDF and RDFS.</w:t>
      </w:r>
    </w:p>
    <w:p>
      <w:pPr>
        <w:widowControl w:val="on"/>
        <w:pBdr/>
        <w:spacing w:before="240" w:after="240" w:line="240" w:lineRule="auto"/>
        <w:ind w:left="0" w:right="0"/>
        <w:jc w:val="left"/>
      </w:pPr>
      <w:r>
        <w:rPr>
          <w:color w:val="000000"/>
          <w:sz w:val="24"/>
          <w:szCs w:val="24"/>
        </w:rPr>
        <w:t xml:space="preserve">In the end it becomes clear, that the current IFLA task group has set the goal for the upgrades of semantic web, which needs the use of RDF, NKOS, and SKOS.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95848">
    <w:multiLevelType w:val="hybridMultilevel"/>
    <w:lvl w:ilvl="0" w:tplc="89170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95848">
    <w:abstractNumId w:val="345958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569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