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HUSZENICZA ANNA MARGIT</w:t>
            </w:r>
          </w:p>
          <w:p w:rsidR="00C275A3" w:rsidRDefault="00A96AEC" w:rsidP="00C275A3">
            <w:pPr>
              <w:pStyle w:val="Hallgatokepzes"/>
            </w:pPr>
            <w:r>
              <w:t>Társadalmi tanulmányok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KOCSI ZOLTÁN</w:t>
            </w:r>
          </w:p>
          <w:p w:rsidR="00DB4822" w:rsidRDefault="00C275A3" w:rsidP="004D7940">
            <w:pPr>
              <w:pStyle w:val="Hallgatokepzes"/>
            </w:pPr>
            <w:r>
              <w:t>Szociológia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Társadalomtudományi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MÓZER DÁVID</w:t>
            </w:r>
          </w:p>
          <w:p w:rsidR="00C275A3" w:rsidRDefault="00A96AEC" w:rsidP="00C275A3">
            <w:pPr>
              <w:pStyle w:val="Hallgatokepzes"/>
            </w:pPr>
            <w:r>
              <w:t>Survey statisztika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SZALONTAI ISTVÁN</w:t>
            </w:r>
          </w:p>
          <w:p w:rsidR="00DB4822" w:rsidRDefault="00C275A3" w:rsidP="004D7940">
            <w:pPr>
              <w:pStyle w:val="Hallgatokepzes"/>
            </w:pPr>
            <w:r>
              <w:t>Survey statisztika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Társadalomtudományi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Gregor Anikó</w:t>
            </w:r>
          </w:p>
          <w:p w:rsidR="00DB4822" w:rsidRDefault="00DB4822" w:rsidP="00E11062">
            <w:pPr>
              <w:pStyle w:val="Konzulensek"/>
            </w:pPr>
            <w:r w:rsidRPr="00DB4822">
              <w:t>egy. tanársegéd, ELTE TÁTK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Gregor Anikó</w:t>
            </w:r>
          </w:p>
          <w:p w:rsidR="00DB4822" w:rsidRDefault="00DB4822" w:rsidP="00E11062">
            <w:pPr>
              <w:pStyle w:val="Konzulensek"/>
            </w:pPr>
            <w:r w:rsidRPr="00DB4822">
              <w:t>egy. tanársegéd, ELTE TÁTK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Gregor Anikó</w:t>
            </w:r>
          </w:p>
          <w:p w:rsidR="00DB4822" w:rsidRDefault="00DB4822" w:rsidP="00E11062">
            <w:pPr>
              <w:pStyle w:val="Konzulensek"/>
            </w:pPr>
            <w:r w:rsidRPr="00DB4822">
              <w:t>egy. tanársegéd, ELTE TÁTK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Gregor Anikó</w:t>
            </w:r>
          </w:p>
          <w:p w:rsidR="00DB4822" w:rsidRDefault="00DB4822" w:rsidP="00E11062">
            <w:pPr>
              <w:pStyle w:val="Konzulensek"/>
            </w:pPr>
            <w:r w:rsidRPr="00DB4822">
              <w:t>egy. tanársegéd,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"Miért bélyegeznek meg minket, könyörgöm?!” - Magyarországi ultraszurkolók kvalitatív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 komplex világának elengedhetetlenül fontos elemei a szurkolók. A labdarúgás fejlődésével párhuzamosan a lelátói kultúra is megváltozott, a 20. század második felére pedig szervezett szurkolói csoportok alakultak. Magyarországon ezeknek a csoportoknak a megjelenésére egészen a rendszerváltásig kellett várni. A hazai szurkolói csoportosulások elsősorban az olasz ultramozgalom elemeit vették át, kiegészítve az angol huligánstílus néhány jegyével. Kutatásunk során azokat a formális kiscsoportokat tekintettük ultracsoportnak, amelyek feladatuknak egy adott labdarúgócsapatnak való szurkolás megszervezését és kivitelezését tekintették. Célunk az volt, hogy a média által közvetített előítéletekkel terhelt kép helyett az ultrákat tudományos módszerekkel vizsgáljuk, mivel a téma szakirodalma Magyarországon igen szegényes.</w:t>
      </w:r>
      <w:r>
        <w:rPr>
          <w:color w:val="000000"/>
          <w:sz w:val="24"/>
          <w:szCs w:val="24"/>
        </w:rPr>
        <w:br/>
        <w:t xml:space="preserve">Az ultracsoportok vizsgálatának középpontjában sajátos szabályok, elvárások, és normák kerültek, amelyek együttesen a csoport ethoszát határozzák meg. Az ultracsoportok kutatása során arra a kérdésre kerestük a választ, hogy milyen elemek alkotják az ultraethoszt, az ultracsoportok tagjai milyen tényezők mentén konstruálják meg "ultraságukat", milyen elvárásokat tartanak fontosnak? Melyek azok a társadalmi tényezők, amelyek segítségével a szervezett szurkolói szféra meghatározódik és működik, melyek azok az elemek, amelyekhez viszonyítva, és amelyek által létrejön az "ultra-identitás", amelyek segítségével az egyén definiálja önmagát a szurkolói társadalmon belül? A kutatásunk során számos, magyar első osztályban (NB1) játszó klub ultráival készítettünk félig strukturált mélyinterjúkat, illetve végeztünk terepkutatást futballmérkőzéseken. A csoportok ethoszának elemzését, az interjúink alapján, négy fő elemzési csomóponton keresztül végeztük el: szurkolás, és szurkolói magatartás, maszkulinitás, lokális identitás, valamint a politikához és hatalomhoz fűződő viszony. Konklúzióként levonhatjuk, hogy az ultracsoportok az individualizációs folyamatok ellentéteként, a tradicionális és közösségi értékek szimbolizálják. Az ultracsoportok ethosza, értékrendszere, pedig sokszínűbb, és változatosabb, mint ahogy az a közvélekedésben megjelenik.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980255">
    <w:multiLevelType w:val="hybridMultilevel"/>
    <w:lvl w:ilvl="0" w:tplc="90332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980255">
    <w:abstractNumId w:val="139802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75481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