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LÁNCZI</w:t>
            </w:r>
          </w:p>
          <w:p w:rsidR="00C275A3" w:rsidRDefault="00A96AEC" w:rsidP="00C275A3">
            <w:pPr>
              <w:pStyle w:val="Hallgatokepzes"/>
            </w:pPr>
            <w:r>
              <w:t>Applied economics</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CSABA GÁBOR POGONYI</w:t>
            </w:r>
          </w:p>
          <w:p w:rsidR="00DB4822" w:rsidRDefault="00C275A3" w:rsidP="004D7940">
            <w:pPr>
              <w:pStyle w:val="Hallgatokepzes"/>
            </w:pPr>
            <w:r>
              <w:t>Economic Policy in Global Markets</w:t>
            </w:r>
            <w:r w:rsidR="00A96AEC">
              <w:br/>
              <w:t>MA, 1. semester</w:t>
            </w:r>
          </w:p>
          <w:p w:rsidR="00DB4822" w:rsidRDefault="00DB4822" w:rsidP="004D7940">
            <w:pPr>
              <w:pStyle w:val="Hallgatointezmeny-kar"/>
            </w:pPr>
            <w:r>
              <w:t>Central European University</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Major</w:t>
            </w:r>
          </w:p>
          <w:p w:rsidR="00DB4822" w:rsidRDefault="00DB4822" w:rsidP="00E11062">
            <w:pPr>
              <w:pStyle w:val="Konzulensek"/>
            </w:pPr>
            <w:r w:rsidRPr="00DB4822">
              <w:t>assistant professor, ELTE TÁTK</w:t>
            </w:r>
          </w:p>
        </w:tc>
      </w:tr>
      <w:tr w:rsidR="00DB4822" w:rsidTr="00DB4822">
        <w:tc>
          <w:tcPr>
            <w:tcW w:w="9854" w:type="dxa"/>
          </w:tcPr>
          <w:p w:rsidR="00DB4822" w:rsidRPr="00DB4822" w:rsidRDefault="00DB4822" w:rsidP="004D7940">
            <w:pPr>
              <w:pStyle w:val="Konzulensek"/>
            </w:pPr>
            <w:r w:rsidRPr="00DB4822">
              <w:t>Klára Major</w:t>
            </w:r>
          </w:p>
          <w:p w:rsidR="00DB4822" w:rsidRDefault="00DB4822" w:rsidP="00E11062">
            <w:pPr>
              <w:pStyle w:val="Konzulensek"/>
            </w:pPr>
            <w:r w:rsidRPr="00DB4822">
              <w:t>assistant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Gasoline retail market in Budapest: pricing and spatial structure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aims to model the spatial structure and pricing of the gasoline retail market of Budapest. After presenting the relevant literature, we describe the gasoline retail market of Budapest using data from the holtankoljak.hu webdatabase. We set up a two-equational model that catches the long and short run decisions of gas stations. The long run concerns the spatial decision: where to locate? The short run equation models the pricing of the gas stations at a previously chosen location. Our two-equational model was both estimated by OLS and IV methods.</w:t>
      </w:r>
      <w:r>
        <w:rPr>
          <w:color w:val="000000"/>
          <w:sz w:val="24"/>
          <w:szCs w:val="24"/>
        </w:rPr>
        <w:br/>
        <w:t xml:space="preserve">According to our findings, the most important explanatory factors of the spatial decision are the local population density, the structure of the market and the traffic. The most important factors determining the pricing of gas stations are that which commercial chain does the station belong to and the previously made spatial decision. In a certain area, the increase of gas station density increases the price of gasoline. An other important finding is that as bigger the market power of the biggest retailer on the market is, the higher will be the price of gas. Despite our expectations, the fact that all the gas stations are owned by the same firm in an area does not have a significant effect on prices.</w:t>
      </w:r>
      <w:r>
        <w:rPr>
          <w:color w:val="000000"/>
          <w:sz w:val="24"/>
          <w:szCs w:val="24"/>
        </w:rPr>
        <w:br/>
        <w:t xml:space="preserve">We plan to extend our research by developing this cross-sectional dataset into a panel dataset, thus making our estimations more precise.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93007">
    <w:multiLevelType w:val="hybridMultilevel"/>
    <w:lvl w:ilvl="0" w:tplc="602216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93007">
    <w:abstractNumId w:val="10593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466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