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EMMA GOTHÁR</w:t>
            </w:r>
          </w:p>
          <w:p w:rsidR="00C275A3" w:rsidRDefault="00A96AEC" w:rsidP="00C275A3">
            <w:pPr>
              <w:pStyle w:val="Hallgatokepzes"/>
            </w:pPr>
            <w:r>
              <w:t>International Relations</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Huszka</w:t>
            </w:r>
          </w:p>
          <w:p w:rsidR="00DB4822" w:rsidRDefault="00DB4822" w:rsidP="00E11062">
            <w:pPr>
              <w:pStyle w:val="Konzulensek"/>
            </w:pPr>
            <w:r w:rsidRPr="00DB4822">
              <w:t>senior lecturer,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Surviving strategies elaborated in the Little Ice Age in the light of nowadays global environmental challenges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paper is a comparative overview of human adaptation strategies elaborated for surviving climate extremes in the long centuries of the Little Ice Age on one hand and contemporary global challenges on the other. Within the frames of this investigation my purpose was to illuminate some of the parallels between historical environmental threats and the risks we are facing today. Endeavouring to set out correlations of local and larger scale methods of adaptation techniques in relation to short and long term affectivity with regards to human ethics as well, the paper presents systematized sets of bygone examples of successful or failed strategies of European communities collated to dilemmas of today. As I argue, models cultivated in the past – one way or another – reveal significant attainments for contemporary discourse.</w:t>
      </w:r>
    </w:p>
    <w:p>
      <w:pPr>
        <w:pBdr/>
        <w:spacing w:before="240" w:after="240" w:line="240" w:lineRule="auto"/>
        <w:ind w:left="0" w:right="0"/>
        <w:jc w:val="left"/>
      </w:pPr>
      <w:r>
        <w:rPr>
          <w:color w:val="000000"/>
          <w:sz w:val="24"/>
          <w:szCs w:val="24"/>
        </w:rPr>
        <w:t xml:space="preserve">Key words: Little Ice Age, climate change, famine, migration, adaptation</w:t>
      </w:r>
    </w:p>
    <w:p>
      <w:pPr>
        <w:pBdr/>
        <w:spacing w:before="240" w:after="240" w:line="240" w:lineRule="auto"/>
        <w:ind w:left="0" w:right="0"/>
        <w:jc w:val="left"/>
      </w:pPr>
    </w:p>
    <w:p>
      <w:pPr>
        <w:pBdr/>
        <w:spacing w:before="240" w:after="240" w:line="240" w:lineRule="auto"/>
        <w:ind w:left="0" w:right="0"/>
        <w:jc w:val="left"/>
      </w:pPr>
      <w:r>
        <w:rPr>
          <w:color w:val="000000"/>
          <w:sz w:val="24"/>
          <w:szCs w:val="24"/>
        </w:rPr>
        <w:drawing>
          <wp:inline distT="0" distB="0" distL="0" distR="0">
            <wp:extent cx="3600000" cy="3600000"/>
            <wp:docPr id="4072260" name="name150ebec866a2ef" descr="imgtmp_22456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456_int_1.jpg"/>
                    <pic:cNvPicPr/>
                  </pic:nvPicPr>
                  <pic:blipFill>
                    <a:blip r:embed="rId150ebec866a2b1" cstate="print"/>
                    <a:stretch>
                      <a:fillRect/>
                    </a:stretch>
                  </pic:blipFill>
                  <pic:spPr>
                    <a:xfrm>
                      <a:off x="0" y="0"/>
                      <a:ext cx="3600000" cy="3600000"/>
                    </a:xfrm>
                    <a:prstGeom prst="rect">
                      <a:avLst/>
                    </a:prstGeom>
                    <a:ln w="0">
                      <a:noFill/>
                    </a:ln>
                  </pic:spPr>
                </pic:pic>
              </a:graphicData>
            </a:graphic>
          </wp:inline>
        </w:drawing>
      </w:r>
      <w:r>
        <w:rPr>
          <w:color w:val="000000"/>
          <w:sz w:val="24"/>
          <w:szCs w:val="24"/>
        </w:rPr>
        <w:drawing>
          <wp:inline distT="0" distB="0" distL="0" distR="0">
            <wp:extent cx="4320000" cy="2872800"/>
            <wp:docPr id="63172815" name="name150ebec866b887" descr="imgtmp_22456_in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456_int_2.jpg"/>
                    <pic:cNvPicPr/>
                  </pic:nvPicPr>
                  <pic:blipFill>
                    <a:blip r:embed="rId150ebec866b84a" cstate="print"/>
                    <a:stretch>
                      <a:fillRect/>
                    </a:stretch>
                  </pic:blipFill>
                  <pic:spPr>
                    <a:xfrm>
                      <a:off x="0" y="0"/>
                      <a:ext cx="4320000" cy="28728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29613">
    <w:multiLevelType w:val="hybridMultilevel"/>
    <w:lvl w:ilvl="0" w:tplc="53373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29613">
    <w:abstractNumId w:val="50429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346053" Type="http://schemas.openxmlformats.org/officeDocument/2006/relationships/numbering" Target="numbering.xml"/><Relationship Id="rId150ebec866a2b1" Type="http://schemas.openxmlformats.org/officeDocument/2006/relationships/image" Target="media/imgrId150ebec866a2b1.jpg"/><Relationship Id="rId150ebec866b84a" Type="http://schemas.openxmlformats.org/officeDocument/2006/relationships/image" Target="media/imgrId150ebec866b84a.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