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BARANYAI ANDREA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Dencső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kandidátus,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Adoptogén gyógynövények génmegőrzése in vitro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Figyelmünk azért fordult a roboráló növények (a som és a homoktövis) felé, mert ezzel a területtel hazánkban nagyon kevesen foglalkoznak.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homoktövisnél és a somnál sikerült kidolgoznunk az indító és a felszaporító táptalajt mind a vad, mind a kultúrfajok esetében. A somnál az indító táptalaj DCR+ 1 mg/l GA, a felszaporító a DCR+ 0,2 mg/l BAP. A homoktövisnél az indító a BTM+ 1 mg/l GA, a szaporító a BTM + 0,2 ml/l BAP. A homoktövisnél a Hippophae rhamnoides var.carpatikca klónoknál sikerült gyökérprimódium indikációt elérnünk nagy adagú 10 mg/l IES alkalmazásával.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somnál a gyökereztetési kísérletek sokáig folytak, a korábban alkalmazott táptalajokon a somot nem sikerült legyökereztetni, pedig a szakmában eddig használt összes gyökereztetési eljárást kipróbáltuk.</w:t>
      </w:r>
      <w:r>
        <w:rPr>
          <w:color w:val="000000"/>
          <w:sz w:val="24"/>
          <w:szCs w:val="24"/>
        </w:rPr>
        <w:br/>
        <w:t xml:space="preserve">2012 márciusában Marks és Simpson /2000/ kísérletei alapján új módszert próbáltunk ki. Nevezetesen a gyökereztetésre letett növényeket 3 csoportba osztottuk, úgy mind a gyökereztetésre letett osztódó növény főhajtásának felső 2-2.5 cm-es része, a levágott főhajtás alsó része, a harmadik csoportba az oldalhajtásokat tettük le gyökereztető táptalajra.</w:t>
      </w:r>
      <w:r>
        <w:rPr>
          <w:color w:val="000000"/>
          <w:sz w:val="24"/>
          <w:szCs w:val="24"/>
        </w:rPr>
        <w:br/>
        <w:t xml:space="preserve">Három különböző gyökereztető táptalajt használtunk:</w:t>
      </w:r>
      <w:r>
        <w:rPr>
          <w:color w:val="000000"/>
          <w:sz w:val="24"/>
          <w:szCs w:val="24"/>
        </w:rPr>
        <w:br/>
        <w:t xml:space="preserve">a) 10mg/l NES,</w:t>
      </w:r>
      <w:r>
        <w:rPr>
          <w:color w:val="000000"/>
          <w:sz w:val="24"/>
          <w:szCs w:val="24"/>
        </w:rPr>
        <w:br/>
        <w:t xml:space="preserve">b) 10mg/l IVS, ill.</w:t>
      </w:r>
      <w:r>
        <w:rPr>
          <w:color w:val="000000"/>
          <w:sz w:val="24"/>
          <w:szCs w:val="24"/>
        </w:rPr>
        <w:br/>
        <w:t xml:space="preserve">c) IVS+IES+NES 3+3+3 mg/l kombinációja.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hormontartalmú táptalajokon 1 hétig voltak a növények, majd hormonmentes DCR alaptáptalajra tettük őket.</w:t>
      </w:r>
      <w:r>
        <w:rPr>
          <w:color w:val="000000"/>
          <w:sz w:val="24"/>
          <w:szCs w:val="24"/>
        </w:rPr>
        <w:br/>
        <w:t xml:space="preserve">A legyökeresedett növényeket vizuálisan értékelve egyértelműen az auxin kombináció volt a legjobb, ezen a táptalajon igazi gyökerek fejlődtek, a másik két táptalajon az erősen elkalluszosodott alapból eredtek az úgynevezett léggyökerek, ezeket a növényeket nem is lehetett akklimatizálni. A NES.-en lévő növények kallusza egyébként fehér volt, az IVS-en lévőké pedig zöld.</w:t>
      </w:r>
      <w:r>
        <w:rPr>
          <w:color w:val="000000"/>
          <w:sz w:val="24"/>
          <w:szCs w:val="24"/>
        </w:rPr>
        <w:br/>
        <w:t xml:space="preserve">A legyökeresedett növényeket aztán sikeresen akklimatizáltuk.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94342">
    <w:multiLevelType w:val="hybridMultilevel"/>
    <w:lvl w:ilvl="0" w:tplc="96080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94342">
    <w:abstractNumId w:val="329943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36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