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BORBÁLA MARTOS</w:t>
            </w:r>
          </w:p>
          <w:p w:rsidR="00C275A3" w:rsidRDefault="00A96AEC" w:rsidP="00C275A3">
            <w:pPr>
              <w:pStyle w:val="Hallgatokepzes"/>
            </w:pPr>
            <w:r>
              <w:t>International Relations</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Majtényi</w:t>
            </w:r>
          </w:p>
          <w:p w:rsidR="00DB4822" w:rsidRDefault="00DB4822" w:rsidP="00E11062">
            <w:pPr>
              <w:pStyle w:val="Konzulensek"/>
            </w:pPr>
            <w:r w:rsidRPr="00DB4822">
              <w:t>Associate 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educational segregation of Romani children and the role of non-governmental organizations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study I discuss the educational segregation of Romani children. The integration of Romani people has become an international issue in Europe, and since 2011 the European Union has its own policy to coordinate the Romani integration programs of its member states. The policy stresses the importance of education as the key element required for the successful integration of Romani people, and for them to attain the skills needed to successfully compete on the labour market. Despite the EU’s emphasis on education, in several countries, including our own, we are faced with discrepancies in this field: the majority of Romani children are segregated in the schools. Human rights organisations play a huge role in the fight against discrimination as they can act on the behalf of individual people and even represent them on an international level.</w:t>
      </w:r>
      <w:r>
        <w:rPr>
          <w:color w:val="000000"/>
          <w:sz w:val="24"/>
          <w:szCs w:val="24"/>
        </w:rPr>
        <w:br/>
        <w:t xml:space="preserve">I use a case to demonstrate how such an organisation can direct the limelight on these discrepancies and offer legal remedy for those whose rights have been impaired. Furthermore, I also discuss how these individual cases can play an important role in solving the existing system-wide problems and lead to the successful integration of Romani people.</w:t>
      </w:r>
      <w:r>
        <w:rPr>
          <w:color w:val="000000"/>
          <w:sz w:val="24"/>
          <w:szCs w:val="24"/>
        </w:rPr>
        <w:br/>
        <w:t xml:space="preserve">I start by describing the international conventions that state the prohibition of discrimination and the right to education and also make it possible for human rights organisations to act on them and take the issues to an international level. I describe the current situation of Romani people, the direct linkage between education and being successful on the labour market, and I also analyse the current practice of educational segregation that Romani children have to face, detailing its most aggravated form, misdiagnosis. I introduce the Chance For Children Foundation, the sole organisation today in our country, whose main goal is to battle the process of educational segregation affecting Romani children. I detail their current case of misdiagnosis at the European Court of Human Rights in Strasbourg, with emphasis on the problems and discriminative practices of the current system that Romani people have to face daily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777755">
    <w:multiLevelType w:val="hybridMultilevel"/>
    <w:lvl w:ilvl="0" w:tplc="93921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777755">
    <w:abstractNumId w:val="307777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58635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