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PÁLI KATA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Unger Anna</w:t>
            </w:r>
          </w:p>
          <w:p w:rsidR="00DB4822" w:rsidRDefault="00DB4822" w:rsidP="00E11062">
            <w:pPr>
              <w:pStyle w:val="Konzulensek"/>
            </w:pPr>
            <w:r w:rsidRPr="00DB4822">
              <w:t>egy. tanársegéd,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gondnokság alá helyezés és a választójog elvesztésének problémája a szellemi sérültek esetében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gondnokság alá helyezés és a választójog elvesztésének problémája a szellemi sérültek esetében Magyarországon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Dolgozatomban a gondnokság alá helyezés és a választójog elvesztésének, illetve korlátozásának problémáját vizsgáltam, a szellemi sérültek esetében.</w:t>
      </w:r>
      <w:r>
        <w:rPr>
          <w:color w:val="000000"/>
          <w:sz w:val="24"/>
          <w:szCs w:val="24"/>
        </w:rPr>
        <w:br/>
        <w:t xml:space="preserve">A dolgozat hipotézise, hogy az alapvető eljárási hibákat és jogsértő mechanizmusokat többnyire a választójoggal kapcsolatos hiányos ismeretek és szabályozások okozzák. Az ez által generált felelősség-elhárítás pedig felületes eljárásokat és hibás döntéseket von maga után, melyek nem felelnek meg a szükségesség és arányosság elvének.</w:t>
      </w:r>
      <w:r>
        <w:rPr>
          <w:color w:val="000000"/>
          <w:sz w:val="24"/>
          <w:szCs w:val="24"/>
        </w:rPr>
        <w:br/>
        <w:t xml:space="preserve">A szellemi sérült emberek régi és jelenkori társadalmi helyzetét felvázolva jutottam el a mai kor, ezen belül a magyarországi szabályozáshoz és annak problémáihoz.</w:t>
      </w:r>
      <w:r>
        <w:rPr>
          <w:color w:val="000000"/>
          <w:sz w:val="24"/>
          <w:szCs w:val="24"/>
        </w:rPr>
        <w:br/>
        <w:t xml:space="preserve">Elsőként pár alapfogalmat tisztáztam, majd bemutatom a gondnokág alá helyezés folyamatát és annak jogi szabályozását.</w:t>
      </w:r>
      <w:r>
        <w:rPr>
          <w:color w:val="000000"/>
          <w:sz w:val="24"/>
          <w:szCs w:val="24"/>
        </w:rPr>
        <w:br/>
        <w:t xml:space="preserve">Ezután a választójoggal kapcsolatos kialakulását és jelentőségét mutattam be, a demokratikus jogrendszerek legitimációjában.</w:t>
      </w:r>
      <w:r>
        <w:rPr>
          <w:color w:val="000000"/>
          <w:sz w:val="24"/>
          <w:szCs w:val="24"/>
        </w:rPr>
        <w:br/>
        <w:t xml:space="preserve">Vázoltam a választójog nemzetközi és magyar szabályozásának történetét, különös tekintettel a Polgári Törvénykönyv szabályrendszerére és változásaira.</w:t>
      </w:r>
      <w:r>
        <w:rPr>
          <w:color w:val="000000"/>
          <w:sz w:val="24"/>
          <w:szCs w:val="24"/>
        </w:rPr>
        <w:br/>
        <w:t xml:space="preserve">Ezek után tértem rá dolgozatom fő részére, a bírósági eljárás, a szereplők és a konkrét bírói döntés elemzésére.</w:t>
      </w:r>
      <w:r>
        <w:rPr>
          <w:color w:val="000000"/>
          <w:sz w:val="24"/>
          <w:szCs w:val="24"/>
        </w:rPr>
        <w:br/>
        <w:t xml:space="preserve">Az alperes, az orvosszakértő és a bíró szemszögéből vizsgáltam meg, az eljárást, illetve itt mutattam be, milyen szabályozási hiányosságok merülnek fel, mind a magyar mindig pedig a nemzetközi jogban, és, hogy a választójog elvétele, az eljárás folyamán hogyan válik mechanikussá. Ebben a részben azt szerettem volna bemutatni, hogy a hiányos szabályozások ellehetetlenítik az eljárások szereplőit és döntésképtelen védekező álláspontba kényszerítik mind az orvosszakértőt, mind pedig a bírót.</w:t>
      </w:r>
      <w:r>
        <w:rPr>
          <w:color w:val="000000"/>
          <w:sz w:val="24"/>
          <w:szCs w:val="24"/>
        </w:rPr>
        <w:br/>
        <w:t xml:space="preserve">A dolgozat végén megállapítottam, hogy a jogi szabályozás javítása nélkül nem látok a változásra, majd kiegészítésként megvizsgáltam a választójog korlátozásának az előzetes regisztrációval kapcsolatos 2013-asAlkotmánybírósági határozatot.</w:t>
      </w:r>
      <w:r>
        <w:rPr>
          <w:color w:val="000000"/>
          <w:sz w:val="24"/>
          <w:szCs w:val="24"/>
        </w:rPr>
        <w:br/>
        <w:t xml:space="preserve">Ezek után levontam a következtetéseket és, hogy a jövőben milyen irányba lehetne elindulni a téma további vizsgálata kapcsán.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244779">
    <w:multiLevelType w:val="hybridMultilevel"/>
    <w:lvl w:ilvl="0" w:tplc="690783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244779">
    <w:abstractNumId w:val="982447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54839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